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_0be92f19c85593f5"/>
      <w:r>
        <w:rPr>
          <w:b w:val="0"/>
          <w:i w:val="0"/>
        </w:rPr>
        <w:t>LIT-006｜持续语义分割：泛读报告</w:t>
      </w:r>
      <w:bookmarkEnd w:id="1"/>
    </w:p>
    <w:p>
      <w:pPr>
        <w:pStyle w:val="Metadata"/>
      </w:pPr>
      <w:r>
        <w:rPr>
          <w:b w:val="0"/>
          <w:i w:val="0"/>
        </w:rPr>
        <w:t>标题：</w:t>
      </w:r>
      <w:r>
        <w:rPr>
          <w:b w:val="0"/>
          <w:i/>
        </w:rPr>
        <w:t>A Survey on Continual Semantic Segmentation: Theory, Challenge, Method and Application</w:t>
      </w:r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作者：Bo Yuan、Danpei Zhao。</w:t>
      </w:r>
    </w:p>
    <w:p>
      <w:pPr>
        <w:pStyle w:val="Metadata"/>
      </w:pPr>
      <w:r>
        <w:rPr>
          <w:b w:val="0"/>
          <w:i w:val="0"/>
        </w:rPr>
        <w:t>本地版本：arXiv:2310.14277v2，2024-07-22；20 页。首页模板期刊、卷期和收稿占位不视为正式出版依据。</w:t>
      </w:r>
    </w:p>
    <w:p>
      <w:pPr>
        <w:pStyle w:val="Metadata"/>
      </w:pPr>
      <w:r>
        <w:rPr>
          <w:b w:val="0"/>
          <w:i w:val="0"/>
        </w:rPr>
        <w:t>原文：</w:t>
      </w:r>
      <w:hyperlink r:id="rId11" w:history="1">
        <w:r>
          <w:rPr>
            <w:color w:val="245985"/>
            <w:u w:val="single"/>
          </w:rPr>
          <w:t>本地 PDF</w:t>
        </w:r>
      </w:hyperlink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阅读：2026-10-18；</w:t>
      </w:r>
      <w:r>
        <w:rPr>
          <w:b/>
          <w:i w:val="0"/>
        </w:rPr>
        <w:t>已泛读，非精读、非复现</w:t>
      </w:r>
      <w:r>
        <w:rPr>
          <w:b w:val="0"/>
          <w:i w:val="0"/>
        </w:rPr>
        <w:t>。重点为 §1～5、§6 的道路应用与未来方向；主表、评价与疑点回看页面，部分相关引用作定位。页码均为 PDF 页码。</w:t>
      </w:r>
    </w:p>
    <w:p>
      <w:pPr>
        <w:pStyle w:val="Heading1"/>
      </w:pPr>
      <w:bookmarkStart w:id="2" w:name="sec_7469c5e290ad3e5d"/>
      <w:r>
        <w:rPr>
          <w:b w:val="0"/>
          <w:i w:val="0"/>
        </w:rPr>
        <w:t>核心判断</w:t>
      </w:r>
      <w:bookmarkEnd w:id="2"/>
    </w:p>
    <w:p>
      <w:pPr/>
      <w:r>
        <w:rPr>
          <w:b w:val="0"/>
          <w:i w:val="0"/>
        </w:rPr>
        <w:t>这是六篇中与“持续语义分割”任务最直接对应的综述，适合建立方法与原始论文入口。但其主实验集中类增量，域增量小节的表述存在内部冲突，不能直接照搬成天气域增量实验协议。</w:t>
      </w:r>
    </w:p>
    <w:p>
      <w:pPr>
        <w:pStyle w:val="Heading1"/>
      </w:pPr>
      <w:bookmarkStart w:id="3" w:name="sec_c48aafce5a9c2077"/>
      <w:r>
        <w:rPr>
          <w:b w:val="0"/>
          <w:i w:val="0"/>
        </w:rPr>
        <w:t>问题与分割特有挑战</w:t>
      </w:r>
      <w:bookmarkEnd w:id="3"/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：§1～2（p.1～4）讨论灾难性遗忘、背景语义漂移以及任务/域/类别/模态增量。背景漂移源于旧类、未来类与真实背景在仅标当前类别时混合，不是所有域变化都必然出现的现象。</w:t>
      </w:r>
    </w:p>
    <w:p>
      <w:pPr/>
      <w:r>
        <w:rPr>
          <w:b w:val="0"/>
          <w:i w:val="0"/>
        </w:rPr>
        <w:t>§2.1 的通用公式以当前类标注与旧类继承为中心，明显贴近类增量。§2.2 又将域增量解释为类别保持而场景分布变化。因此，读本文要把“类增量的公式”和“域增量任务分支”分别理解。</w:t>
      </w:r>
    </w:p>
    <w:p>
      <w:pPr/>
      <w:r>
        <w:rPr>
          <w:b w:val="0"/>
          <w:i w:val="0"/>
        </w:rPr>
        <w:t>§3.2（p.5）介绍 disjoint/overlapped 类增量协议：当前阶段只提供当前类标签，是否含未来类、不同阶段如何使用图像会影响背景语义和任务难度。这些协议不能等价为固定类别的雨、雾、雪、夜流。</w:t>
      </w:r>
    </w:p>
    <w:p>
      <w:pPr>
        <w:pStyle w:val="Heading1"/>
      </w:pPr>
      <w:bookmarkStart w:id="4" w:name="sec_9d9231dd2b02a12d"/>
      <w:r>
        <w:rPr>
          <w:b w:val="0"/>
          <w:i w:val="0"/>
        </w:rPr>
        <w:t>研究设定归类与结论适用范围</w:t>
      </w:r>
      <w:bookmarkEnd w:id="4"/>
    </w:p>
    <w:p>
      <w:pPr/>
      <w:r>
        <w:rPr>
          <w:b/>
          <w:i w:val="0"/>
        </w:rPr>
        <w:t>归类依据</w:t>
      </w:r>
      <w:r>
        <w:rPr>
          <w:b w:val="0"/>
          <w:i w:val="0"/>
        </w:rPr>
        <w:t>：§2.2/§3.2（p.4～5）、§5.3（p.11～14）。本文属于 CL 的分割综述，但各分支的证据量和适用问题不同，不能用“CSS 方法”统一代替 CIL/DIL 标记。</w:t>
      </w:r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分支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变化与困难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本文证据及对本课题的使用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类增量 CSS / CIL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新语义类别逐步加入；只标当前类时还面临背景语义漂移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VOC/ADE20K 主表、15-1 等类数协议与旧类/新类 mIoU 是 CIL 证据；不能把“新类”改写成“新天气”直接借用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域增量 CSS / DIL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类别集合相同，天气、光照、地理等输入分布变化；重点是新域适应和旧域保持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§2.2 的定义及天气/回放原始论文线索与本课题直接相关；§5.3.2/表 8 的类与域冲突仍需回原论文确认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/>
          <w:i w:val="0"/>
        </w:rPr>
        <w:t>与 DG/DA 的区别</w:t>
      </w:r>
      <w:r>
        <w:rPr>
          <w:b w:val="0"/>
          <w:i w:val="0"/>
        </w:rPr>
        <w:t>：固定类别本身不能区分 DIL 和 DG；是否利用到达的新域数据更新、是否评价旧域保持才是关键。DA 侧重目标域适配，UDA 是其中无目标标注的设定；持续适应若同时追踪旧域，可属于 CL 与 DA 的交叉。本课题用当前像素标签更新，不能写成 UDA 或仅做未见域测试的静态 DG。</w:t>
      </w:r>
    </w:p>
    <w:p>
      <w:pPr/>
      <w:r>
        <w:rPr>
          <w:b/>
          <w:i w:val="0"/>
        </w:rPr>
        <w:t>对本课题的研究判断</w:t>
      </w:r>
      <w:r>
        <w:rPr>
          <w:b w:val="0"/>
          <w:i w:val="0"/>
        </w:rPr>
        <w:t>：以 DIL 分割为主要证据筛选方向。MiB 等背景处理机制若来自 CIL，需要重新解释它在固定类别、完整标注天气流中的作用；回放、蒸馏和原型等通用机制也须按具体域增量协议验证。评估分别报告旧/新天气组，同一天气组内仍可另做道路、车辆、行人等语义类别分析。</w:t>
      </w:r>
    </w:p>
    <w:p>
      <w:pPr>
        <w:pStyle w:val="Heading1"/>
      </w:pPr>
      <w:bookmarkStart w:id="5" w:name="sec_003604f8a6bf7f91"/>
      <w:r>
        <w:rPr>
          <w:b w:val="0"/>
          <w:i w:val="0"/>
        </w:rPr>
        <w:t>方法分类与机制</w:t>
      </w:r>
      <w:bookmarkEnd w:id="5"/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路线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本文下的细分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机制与主要限制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数据回放：样例回放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图像、特征、辅助数据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保留旧语义/分布；需区分缓存、原型和外部数据，核算掩码及特征成本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数据回放：生成回放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生成图像或生成特征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通过合成补充旧知识；依赖生成质量、标签一致性及额外模型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无历史数据回放：自监督路线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对比、伪标签、基础模型驱动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借助当前数据与表征/教师信号；伪标签可能传播错误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无历史数据回放：正则路线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蒸馏、预训练、权重迁移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保持旧模型功能，同时学习新增信息；约束过强可能限制适应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无历史数据回放：动态架构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参数分配、结构分解、模块网络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分离新旧知识；需关注增长和路由依赖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SourceText"/>
      </w:pPr>
      <w:r>
        <w:rPr>
          <w:b w:val="0"/>
          <w:i w:val="0"/>
        </w:rPr>
        <w:t>来源：图 3、表 1（p.2～3）与 §4（p.5～9）。本文的 data-free 是针对历史数据依赖的组织术语，不表示不使用当前监督、旧模型、预训练或其他辅助知识；具体方法仍应逐项核查。</w:t>
      </w:r>
    </w:p>
    <w:p>
      <w:pPr/>
      <w:r>
        <w:rPr>
          <w:b w:val="0"/>
          <w:i w:val="0"/>
        </w:rPr>
        <w:t>例如 MiB 校准背景损失，PLOP 使用蒸馏和伪标签，UCD/IDEC 借助对比约束，SSUL-M 等引入记忆，生成回放另依赖生成器（§4）。这些机制为分割提供专门设计，但是否适用于本课题的固定类别流仍需验证。</w:t>
      </w:r>
    </w:p>
    <w:p>
      <w:pPr>
        <w:pStyle w:val="Heading1"/>
      </w:pPr>
      <w:bookmarkStart w:id="6" w:name="sec_58561f7287af9ae1"/>
      <w:r>
        <w:rPr>
          <w:b w:val="0"/>
          <w:i w:val="0"/>
        </w:rPr>
        <w:t>数据、评价与证据性质</w:t>
      </w:r>
      <w:bookmarkEnd w:id="6"/>
    </w:p>
    <w:p>
      <w:pPr/>
      <w:r>
        <w:rPr>
          <w:b w:val="0"/>
          <w:i w:val="0"/>
        </w:rPr>
        <w:t>表 3（p.5）列出道路域相关数据 Cityscapes、ACDC、GTA5、SYNTHIA、SHIFT、SELMA 等，类增量常用 Pascal VOC/ADE20K，另有遥感多模态数据。它提供候选线索，不代表各数据的版本、权限和划分已完成核验。</w:t>
      </w:r>
    </w:p>
    <w:p>
      <w:pPr/>
      <w:r>
        <w:rPr>
          <w:b w:val="0"/>
          <w:i w:val="0"/>
        </w:rPr>
        <w:t>§5 与表 6～7（p.9～13）按旧类、新类、所有类 mIoU 比较多种增量步数；表注明部分结果直接取自原论文，并混有不同骨干，如 DeepLabv3、SegFormer、ViT。不能把整表当成同等预算的统一复现。§5.3.3～5.3.4（p.13～14）还讨论顺序变化、随增量步数的性能曲线和特征可视化，这些评价思想值得借鉴。</w:t>
      </w:r>
    </w:p>
    <w:p>
      <w:pPr/>
      <w:r>
        <w:rPr>
          <w:b w:val="0"/>
          <w:i w:val="0"/>
        </w:rPr>
        <w:t>本文首页给出 SurveyCSS 仓库链接，属于作者声明的资源线索；本轮未访问仓库，不确认其最新可用性、覆盖范围或所有结果是否可复现。</w:t>
      </w:r>
    </w:p>
    <w:p>
      <w:pPr>
        <w:pStyle w:val="Heading1"/>
      </w:pPr>
      <w:bookmarkStart w:id="7" w:name="sec_1e93e974d5d0a90b"/>
      <w:r>
        <w:rPr>
          <w:b w:val="0"/>
          <w:i w:val="0"/>
        </w:rPr>
        <w:t>需要保留的原文疑点</w:t>
      </w:r>
      <w:bookmarkEnd w:id="7"/>
    </w:p>
    <w:p>
      <w:pPr>
        <w:pStyle w:val="ListBody"/>
        <w:numPr>
          <w:ilvl w:val="0"/>
          <w:numId w:val="11"/>
        </w:numPr>
      </w:pPr>
      <w:r>
        <w:rPr>
          <w:b/>
          <w:i w:val="0"/>
        </w:rPr>
        <w:t>域增量与表格标题冲突</w:t>
      </w:r>
      <w:r>
        <w:rPr>
          <w:b w:val="0"/>
          <w:i w:val="0"/>
        </w:rPr>
        <w:t>：§5.3.2（p.13）按域增量解释 Cityscapes 的 11-5、11-1、1-1，而同页表 8 的标题明确写类增量。这页已目视核对。不能仅凭该小节认定这些设置代表天气或城市域序列；需回表中引用的原论文核实。</w:t>
      </w:r>
    </w:p>
    <w:p>
      <w:pPr>
        <w:pStyle w:val="ListBody"/>
        <w:numPr>
          <w:ilvl w:val="0"/>
          <w:numId w:val="11"/>
        </w:numPr>
      </w:pPr>
      <w:r>
        <w:rPr>
          <w:b/>
          <w:i w:val="0"/>
        </w:rPr>
        <w:t>Dice 公式可疑</w:t>
      </w:r>
      <w:r>
        <w:rPr>
          <w:b w:val="0"/>
          <w:i w:val="0"/>
        </w:rPr>
        <w:t xml:space="preserve">：p.10 式 (7) 印作 </w:t>
      </w:r>
      <w:r>
        <w:rPr>
          <w:b w:val="0"/>
          <w:i w:val="0"/>
        </w:rPr>
        <w:t>2TP/(TP+2FP+FN)</w:t>
      </w:r>
      <w:r>
        <w:rPr>
          <w:b w:val="0"/>
          <w:i w:val="0"/>
        </w:rPr>
        <w:t>。若 FP=FN=0 且 TP&gt;0，代入为 2（本报告代数核查），因此不能照抄为规范的重叠度量公式。当前研究也未决定使用 Dice。</w:t>
      </w:r>
    </w:p>
    <w:p>
      <w:pPr>
        <w:pStyle w:val="ListBody"/>
        <w:numPr>
          <w:ilvl w:val="0"/>
          <w:numId w:val="11"/>
        </w:numPr>
      </w:pPr>
      <w:r>
        <w:rPr>
          <w:b/>
          <w:i w:val="0"/>
        </w:rPr>
        <w:t>遗忘定义不同</w:t>
      </w:r>
      <w:r>
        <w:rPr>
          <w:b w:val="0"/>
          <w:i w:val="0"/>
        </w:rPr>
        <w:t>：p.10 式 (4) 使用相对初始精度的绝对变化；它不同于 LIT-001/LIT-005 相对历史最佳的遗忘，也会把性能上升计入绝对变化。不能混作同一种 forgetting。</w:t>
      </w:r>
    </w:p>
    <w:p>
      <w:pPr>
        <w:pStyle w:val="ListBody"/>
        <w:numPr>
          <w:ilvl w:val="0"/>
          <w:numId w:val="11"/>
        </w:numPr>
      </w:pPr>
      <w:r>
        <w:rPr>
          <w:b/>
          <w:i w:val="0"/>
        </w:rPr>
        <w:t>“无数据”与“回放”边界</w:t>
      </w:r>
      <w:r>
        <w:rPr>
          <w:b w:val="0"/>
          <w:i w:val="0"/>
        </w:rPr>
        <w:t>：各方法可利用模型、原型、辅助数据或生成内容，仅凭所在分组不能推定严格符合缓存预算。</w:t>
      </w:r>
    </w:p>
    <w:p>
      <w:pPr/>
      <w:r>
        <w:rPr>
          <w:b w:val="0"/>
          <w:i w:val="0"/>
        </w:rPr>
        <w:t>这些疑点限制可直接继承的量化结论，不影响用本文建立 CSS 地图和寻找原始文献。</w:t>
      </w:r>
    </w:p>
    <w:p>
      <w:pPr>
        <w:pStyle w:val="Heading1"/>
      </w:pPr>
      <w:bookmarkStart w:id="8" w:name="sec_3a5135d3761445a4"/>
      <w:r>
        <w:rPr>
          <w:b w:val="0"/>
          <w:i w:val="0"/>
        </w:rPr>
        <w:t>与本课题的联系及下一步</w:t>
      </w:r>
      <w:bookmarkEnd w:id="8"/>
    </w:p>
    <w:p>
      <w:pPr/>
      <w:r>
        <w:rPr>
          <w:b/>
          <w:i w:val="0"/>
        </w:rPr>
        <w:t>研究推断</w:t>
      </w:r>
      <w:r>
        <w:rPr>
          <w:b w:val="0"/>
          <w:i w:val="0"/>
        </w:rPr>
        <w:t>：应优先跟进域增量、天气条件、回放选择和骨干影响相关原始论文。若类别集合不扩张、每张训练图像具有完整标签，背景漂移类机制的相关性需单独论证；旧天气遗忘仍然可以存在。</w:t>
      </w:r>
    </w:p>
    <w:p>
      <w:pPr/>
      <w:r>
        <w:rPr>
          <w:b/>
          <w:i w:val="0"/>
        </w:rPr>
        <w:t>待验证假设</w:t>
      </w:r>
      <w:r>
        <w:rPr>
          <w:b w:val="0"/>
          <w:i w:val="0"/>
        </w:rPr>
        <w:t>：有限回放的选择/检索和分割网络更新部位可能共同影响天气适应。当前证据不支持选定最优策略，也不证明在机器人上的更新可行。</w:t>
      </w:r>
    </w:p>
    <w:p>
      <w:pPr/>
      <w:r>
        <w:rPr>
          <w:b w:val="0"/>
          <w:i w:val="0"/>
        </w:rPr>
        <w:t>以下仅按本文参考文献转录检索线索，</w:t>
      </w:r>
      <w:r>
        <w:rPr>
          <w:b/>
          <w:i w:val="0"/>
        </w:rPr>
        <w:t>未收集、未精读、代码和出版信息未独立核验</w:t>
      </w:r>
      <w:r>
        <w:rPr>
          <w:b w:val="0"/>
          <w:i w:val="0"/>
        </w:rPr>
        <w:t>：</w:t>
      </w:r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优先线索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本文位置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建议核查的问题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Kalb、Beyerer，</w:t>
            </w:r>
            <w:r>
              <w:rPr>
                <w:b w:val="0"/>
                <w:i/>
              </w:rPr>
              <w:t>Principles of Forgetting in Domain-Incremental Semantic Segmentation in Adverse Weather Conditions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§6.1 p.14；参考文献 [225] p.20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天气序列、监督和边界；遗忘来自哪些部件？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Kalb 等，</w:t>
            </w:r>
            <w:r>
              <w:rPr>
                <w:b w:val="0"/>
                <w:i/>
              </w:rPr>
              <w:t>Improving Replay-Based Continual Semantic Segmentation with Smart Data Selection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§4.1.1 p.6；[50] p.17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缓存策略如何定义，是否使用域/类别信息？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Alfarra 等，</w:t>
            </w:r>
            <w:r>
              <w:rPr>
                <w:b w:val="0"/>
                <w:i/>
              </w:rPr>
              <w:t>SimCS: Simulation for Domain Incremental Online Continual Segmentation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§4.2.2 p.9、表 5 p.10；[182] p.19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模拟数据的用途、在线协议和额外预算是什么？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Kalb 等，</w:t>
            </w:r>
            <w:r>
              <w:rPr>
                <w:b w:val="0"/>
                <w:i/>
              </w:rPr>
              <w:t>Effects of Architectures on Continual Semantic Segmentation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§4.2.3 p.9、§5.2 p.11；[184] p.19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骨干/归一化影响是否与任务设定相关？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SourceText"/>
      </w:pPr>
      <w:r>
        <w:rPr>
          <w:b w:val="0"/>
          <w:i w:val="0"/>
        </w:rPr>
        <w:t xml:space="preserve">证据入口：问题与分类 p.1～4；协议和数据 p.4～5；方法 p.5～9；指标 p.10；结果 p.11～14；应用与展望 p.14～15。跨文献结论见 </w:t>
      </w:r>
      <w:hyperlink r:id="rId12" w:history="1">
        <w:r>
          <w:rPr>
            <w:color w:val="245985"/>
            <w:u w:val="single"/>
          </w:rPr>
          <w:t>总报告</w:t>
        </w:r>
      </w:hyperlink>
      <w:r>
        <w:rPr>
          <w:b w:val="0"/>
          <w:i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综述阅读报告  /  LIT-006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宋体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TableText">
    <w:name w:val="Table Text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19"/>
    </w:rPr>
  </w:style>
  <w:style w:type="paragraph" w:customStyle="1" w:styleId="SourceText">
    <w:name w:val="Source Text"/>
    <w:basedOn w:val="Normal"/>
    <w:pPr>
      <w:widowControl/>
      <w:spacing w:before="80" w:after="8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ListBody">
    <w:name w:val="List Body"/>
    <w:basedOn w:val="Normal"/>
    <w:pPr>
      <w:widowControl/>
      <w:spacing w:before="0" w:after="80" w:line="300" w:lineRule="auto"/>
    </w:pPr>
    <w:rPr>
      <w:rFonts w:ascii="Calibri" w:hAnsi="Calibri" w:eastAsia="宋体" w:cs="Calibr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%E7%BB%BC%E8%BF%B0/Yuan%E5%92%8CZhao%20-%202024%20-%20A%20Survey%20on%20Continual%20Semantic%20Segmentation%20Theory%2C%20Challenge%2C%20Method%20and%20Application.pdf" TargetMode="External"/><Relationship Id="rId12" Type="http://schemas.openxmlformats.org/officeDocument/2006/relationships/hyperlink" Target="../comparisons/FIELD_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LIT-006｜持续语义分割：泛读报告</dc:title>
  <dc:subject>视觉条件变化下道路场景语义分割的持续学习方法研究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