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6B9D7">
      <w:pPr>
        <w:pStyle w:val="6"/>
      </w:pPr>
      <w:r>
        <w:t>近两周文献阅读汇报</w:t>
      </w:r>
    </w:p>
    <w:p w14:paraId="721B4B5C">
      <w:pPr>
        <w:pStyle w:val="3"/>
        <w:keepNext/>
      </w:pPr>
      <w:r>
        <w:t>问题定位｜约 50 秒</w:t>
      </w:r>
    </w:p>
    <w:p w14:paraId="2A58DDC3">
      <w:r>
        <w:t>我目前把课题暂时聚焦为：语义类别保持不变，但雨、雾、雪、夜间等视觉条件顺序变化时，分割模型如何学习新条件，同时维持已学条件的性能。这更接近域增量持续语义分割。是否要求无显式任务切换提示、每批更新预算如何限定，还需要结合导师要求和设备资源确定。</w:t>
      </w:r>
    </w:p>
    <w:p w14:paraId="4A26136A">
      <w:pPr>
        <w:pStyle w:val="3"/>
        <w:keepNext/>
      </w:pPr>
      <w:r>
        <w:t>综述给出的框架｜约 45 秒</w:t>
      </w:r>
    </w:p>
    <w:p w14:paraId="0E451AC8">
      <w:r>
        <w:t>Mai 等和 Wang 等的综述帮助厘清持续学习、在线约束与评价指标；Yuan 与 Zhao 的综述提供持续语义分割的方法地图。Mockey 等总结了恶劣天气道路视觉，Rafi 等及 Schwonberg 与 Gottschalk 总结了域泛化、增强与预训练路线；静态未见域测试不能直接证明顺序更新后的抗遗忘能力。类增量结果也不能直接当作固定类别天气域的证据。</w:t>
      </w:r>
    </w:p>
    <w:p w14:paraId="5467CFAF">
      <w:pPr>
        <w:pStyle w:val="3"/>
        <w:keepNext/>
      </w:pPr>
      <w:r>
        <w:t>四篇原始论文的共同启发｜约 2 分钟</w:t>
      </w:r>
    </w:p>
    <w:p w14:paraId="532C3B3D">
      <w:r>
        <w:rPr>
          <w:b/>
        </w:rPr>
        <w:t>回放是强基线。</w:t>
      </w:r>
      <w:r>
        <w:t>Kalb 等的类/域增量分割研究在有标注双域实验中显示，小缓存回放明显改善旧域表现；Kalb 等的回放选样研究比较了多种入库策略；其域增量实验的优势约为 1 个 mIoU 点，且选样依赖阶段边界。</w:t>
      </w:r>
    </w:p>
    <w:p w14:paraId="26EB6473">
      <w:r>
        <w:rPr>
          <w:b/>
        </w:rPr>
        <w:t>模拟数据可补充训练。</w:t>
      </w:r>
      <w:r>
        <w:t>Alfarra 等的 SimCS 提高了多数据集顺序流的末态平均表现，但实验依赖密集标签、模拟数据与计算预算，数据集差异也不只是天气。</w:t>
      </w:r>
    </w:p>
    <w:p w14:paraId="755C515B">
      <w:r>
        <w:rPr>
          <w:b/>
        </w:rPr>
        <w:t>天气遗忘有具体机制。</w:t>
      </w:r>
      <w:r>
        <w:t>Kalb 与 Beyerer 的天气遗忘研究发现浅层表征和批归一化（BN）统计漂移与遗忘相关；预训练、颜色增强及持续归一化（CN）可显著缓解遗忘，但证据来自已知边界的两阶段任务。</w:t>
      </w:r>
    </w:p>
    <w:p w14:paraId="0750F36B">
      <w:pPr>
        <w:pStyle w:val="3"/>
        <w:keepNext/>
      </w:pPr>
      <w:r>
        <w:t>下一步与请教｜约 1 分钟</w:t>
      </w:r>
    </w:p>
    <w:p w14:paraId="5390CB8C">
      <w:r>
        <w:t>计划先核对 ACDC 数据协议、论文代码和可用算力，再确定最小可行的天气序列实验。候选对照是顺序微调与小缓存随机回放，在统一骨干、预训练、标签和预算下记录逐阶段旧/新天气 mIoU、遗忘及关键类别指标。想请老师确认：课题是否应把“无切换提示的多天气顺序更新”作为核心目标，还是先以可复现的两阶段天气域增量为主要验收范围？</w:t>
      </w:r>
    </w:p>
    <w:p w14:paraId="48BF87D8">
      <w:pPr>
        <w:pStyle w:val="14"/>
      </w:pPr>
      <w:r>
        <w:t>当前仅完成文献分析，尚无本项目复现或实验结果。</w:t>
      </w:r>
    </w:p>
    <w:p w14:paraId="06ACB865">
      <w:pPr>
        <w:pStyle w:val="2"/>
        <w:keepNext/>
        <w:pageBreakBefore/>
      </w:pPr>
      <w:r>
        <w:rPr>
          <w:rFonts w:hint="eastAsia"/>
          <w:lang w:val="en-US" w:eastAsia="zh-CN"/>
        </w:rPr>
        <w:t>文献综述对比</w:t>
      </w:r>
    </w:p>
    <w:tbl>
      <w:tblPr>
        <w:tblStyle w:val="8"/>
        <w:tblW w:w="9808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198"/>
        <w:gridCol w:w="2578"/>
        <w:gridCol w:w="2976"/>
      </w:tblGrid>
      <w:tr w14:paraId="5D4C852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5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2F3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B2D22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领域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2F3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4E8DF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文献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2F3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E65FF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年份/出处</w:t>
            </w:r>
          </w:p>
        </w:tc>
        <w:tc>
          <w:tcPr>
            <w:tcW w:w="297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2F3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1C30F1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方法分类框架</w:t>
            </w:r>
          </w:p>
        </w:tc>
      </w:tr>
      <w:tr w14:paraId="42BEDAB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6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4354C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持续学习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CF99A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Wang, Zhang, Su, Zhu《A Comprehensive Survey of Continual Learning: Theory, Method and Application》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783B3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2024，arXiv:2302.00487v3</w:t>
            </w:r>
          </w:p>
        </w:tc>
        <w:tc>
          <w:tcPr>
            <w:tcW w:w="297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09C94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五大类：正则化 / 回放 / 优化 / 表示 / 架构</w:t>
            </w:r>
          </w:p>
        </w:tc>
      </w:tr>
      <w:tr w14:paraId="3B9D557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6" w:type="dxa"/>
            <w:vMerge w:val="continue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0F2C5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4DF58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Mai, Li, Jeong, Quispe, Kim, Sanner《Online Continual Learning in Image Classification: An Empirical Survey》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CEB35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2021，arXiv:2101.10423v4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7BB69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按技术分三大族：正则化 / 记忆回放 / 参数隔离（PI-FA、PI-DA）</w:t>
            </w:r>
          </w:p>
        </w:tc>
      </w:tr>
      <w:tr w14:paraId="49DD0C4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6" w:type="dxa"/>
            <w:vMerge w:val="continue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54386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5B388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Yuan (袁博), Zhao (赵丹培)《A Survey on Continual Semantic Segmentation: Theory, Challenge, Method and Application》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E4D2D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2024，arXiv:2310.14277v2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671D5A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按历史数据利用方式二分：数据重放 / 无数据方法，各含 2–3 个子类</w:t>
            </w:r>
          </w:p>
        </w:tc>
      </w:tr>
      <w:tr w14:paraId="7FC4E22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6" w:type="dxa"/>
            <w:vMerge w:val="restar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50961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域泛化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55728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Rafi, Mahjabin, Ghosh, Ko, Lee《Domain generalization for semantic segmentation: a survey》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FCFEA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2024，Artificial Intelligence Review 57(9):247，DOI 10.1007/s10462-024-10817-z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CF2C5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Wang et al. 三分法：数据操纵 / 表征学习 / 学习策略（正文分 5.1–5.11 共 11 小节）</w:t>
            </w:r>
          </w:p>
        </w:tc>
      </w:tr>
      <w:tr w14:paraId="2533EC2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6" w:type="dxa"/>
            <w:vMerge w:val="continue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9A2AE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1F7A1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Schwonberg, Gottschalk《Domain Generalization for Semantic Segmentation: A Survey》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61620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2025，arXiv:2510.03540v1（未见 venue/DOI，应为预印本）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5C24D3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二分法：Classic（Input / Feature / Output Space）vs Foundation-Model-based</w:t>
            </w:r>
          </w:p>
        </w:tc>
      </w:tr>
      <w:tr w14:paraId="4C587CC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B8648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恶劣天气</w:t>
            </w:r>
          </w:p>
        </w:tc>
        <w:tc>
          <w:tcPr>
            <w:tcW w:w="319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DD689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Mockey, Xia, Perera, Wang《Review of Image Analysis Using Deep Learning Method Applied to the Road Context in Degraded Weather Conditions》</w:t>
            </w:r>
          </w:p>
        </w:tc>
        <w:tc>
          <w:tcPr>
            <w:tcW w:w="257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A9A98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2026，Int. J. Comput. Intell. Syst. 19:62，DOI 10.1007/s44196-025-01085-y</w:t>
            </w:r>
          </w:p>
        </w:tc>
        <w:tc>
          <w:tcPr>
            <w:tcW w:w="297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90F09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三维分类：任务（分类/检测/分割）× 数据源（真实/合成）× 架构（CNN/GAN/Transformer）</w:t>
            </w:r>
          </w:p>
        </w:tc>
      </w:tr>
    </w:tbl>
    <w:p w14:paraId="69B4A7FE">
      <w:pPr>
        <w:pStyle w:val="14"/>
      </w:pPr>
    </w:p>
    <w:p w14:paraId="63ABC82A">
      <w:pPr>
        <w:rPr>
          <w:rFonts w:hint="default"/>
          <w:lang w:val="en-US" w:eastAsia="zh-CN"/>
        </w:rPr>
      </w:pPr>
    </w:p>
    <w:p w14:paraId="5C97E68F">
      <w:pPr>
        <w:pStyle w:val="2"/>
        <w:keepNext/>
        <w:pageBreakBefore/>
      </w:pPr>
      <w:r>
        <w:t>四篇原始论文对比</w:t>
      </w:r>
    </w:p>
    <w:p w14:paraId="650CF299">
      <w:pPr>
        <w:pStyle w:val="13"/>
        <w:keepNext/>
      </w:pPr>
      <w:r>
        <w:t>不同论文的骨干、数据、训练轮数和历史访问权限不同，数值不能直接横向排名。</w:t>
      </w:r>
    </w:p>
    <w:tbl>
      <w:tblPr>
        <w:tblStyle w:val="7"/>
        <w:tblW w:w="10701" w:type="dxa"/>
        <w:jc w:val="center"/>
        <w:tblBorders>
          <w:top w:val="none" w:color="CBD2DA" w:sz="4" w:space="0"/>
          <w:left w:val="none" w:color="CBD2DA" w:sz="4" w:space="0"/>
          <w:bottom w:val="none" w:color="CBD2DA" w:sz="4" w:space="0"/>
          <w:right w:val="none" w:color="CBD2DA" w:sz="4" w:space="0"/>
          <w:insideH w:val="none" w:color="CBD2DA" w:sz="4" w:space="0"/>
          <w:insideV w:val="none" w:color="CBD2DA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99"/>
        <w:gridCol w:w="3020"/>
        <w:gridCol w:w="2542"/>
        <w:gridCol w:w="2540"/>
      </w:tblGrid>
      <w:tr w14:paraId="488DDCB3">
        <w:tblPrEx>
          <w:tblBorders>
            <w:top w:val="none" w:color="CBD2DA" w:sz="4" w:space="0"/>
            <w:left w:val="none" w:color="CBD2DA" w:sz="4" w:space="0"/>
            <w:bottom w:val="none" w:color="CBD2DA" w:sz="4" w:space="0"/>
            <w:right w:val="none" w:color="CBD2DA" w:sz="4" w:space="0"/>
            <w:insideH w:val="none" w:color="CBD2DA" w:sz="4" w:space="0"/>
            <w:insideV w:val="none" w:color="CBD2D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59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2F4F7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B1941">
            <w:pPr>
              <w:pStyle w:val="11"/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>文献</w:t>
            </w:r>
          </w:p>
        </w:tc>
        <w:tc>
          <w:tcPr>
            <w:tcW w:w="302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2F4F7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12822">
            <w:pPr>
              <w:pStyle w:val="11"/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实验设定</w:t>
            </w:r>
          </w:p>
        </w:tc>
        <w:tc>
          <w:tcPr>
            <w:tcW w:w="254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2F4F7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DBC26">
            <w:pPr>
              <w:pStyle w:val="11"/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主要发现</w:t>
            </w:r>
          </w:p>
        </w:tc>
        <w:tc>
          <w:tcPr>
            <w:tcW w:w="254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2F4F7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3BE5B">
            <w:pPr>
              <w:pStyle w:val="11"/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对本课题的意义与边界</w:t>
            </w:r>
          </w:p>
        </w:tc>
      </w:tr>
      <w:tr w14:paraId="2507F550">
        <w:tblPrEx>
          <w:tblBorders>
            <w:top w:val="none" w:color="CBD2DA" w:sz="4" w:space="0"/>
            <w:left w:val="none" w:color="CBD2DA" w:sz="4" w:space="0"/>
            <w:bottom w:val="none" w:color="CBD2DA" w:sz="4" w:space="0"/>
            <w:right w:val="none" w:color="CBD2DA" w:sz="4" w:space="0"/>
            <w:insideH w:val="none" w:color="CBD2DA" w:sz="4" w:space="0"/>
            <w:insideV w:val="none" w:color="CBD2D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9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7E230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SimCS</w:t>
            </w:r>
            <w:r>
              <w:br w:type="textWrapping"/>
            </w:r>
            <w:r>
              <w:t>Alfarra 等，AAAI 2024</w:t>
            </w:r>
          </w:p>
        </w:tc>
        <w:tc>
          <w:tcPr>
            <w:tcW w:w="302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6CF3D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四数据集顺序流；固定类别；密集标注；有限批次更新；加入带标签模拟图像。</w:t>
            </w:r>
          </w:p>
        </w:tc>
        <w:tc>
          <w:tcPr>
            <w:tcW w:w="254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398CD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模拟数据 VIPER 使无回放基线的末态四域均值由 40.5 升至 44.9，使经验回放由 46.2 升至 48.3。</w:t>
            </w:r>
          </w:p>
        </w:tc>
        <w:tc>
          <w:tcPr>
            <w:tcW w:w="254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54F09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完全符合“在线持续学习域增量语义分割”几个关键词，</w:t>
            </w:r>
            <w:r>
              <w:t>提供在线设置和合成数据对照；域变化混合城市、相机、天气</w:t>
            </w:r>
          </w:p>
        </w:tc>
      </w:tr>
      <w:tr w14:paraId="4E219674">
        <w:tblPrEx>
          <w:tblBorders>
            <w:top w:val="none" w:color="CBD2DA" w:sz="4" w:space="0"/>
            <w:left w:val="none" w:color="CBD2DA" w:sz="4" w:space="0"/>
            <w:bottom w:val="none" w:color="CBD2DA" w:sz="4" w:space="0"/>
            <w:right w:val="none" w:color="CBD2DA" w:sz="4" w:space="0"/>
            <w:insideH w:val="none" w:color="CBD2DA" w:sz="4" w:space="0"/>
            <w:insideV w:val="none" w:color="CBD2D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5881D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类/域增量分割</w:t>
            </w:r>
            <w:r>
              <w:br w:type="textWrapping"/>
            </w:r>
            <w:r>
              <w:t>Kalb 等，IV 2021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E4A3D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域实验为 BDD→Cityscapes 两阶段；有标注；ERFNet；回放缓存 32/64 张图及标签。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B3B25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末态旧域 mIoU：微调 31.1，回放 64 张为 44.6；类增量实验另显示蒸馏有用。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50972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提示我们回放适用于域增量，正则化则不适用</w:t>
            </w:r>
          </w:p>
        </w:tc>
      </w:tr>
      <w:tr w14:paraId="540995D9">
        <w:tblPrEx>
          <w:tblBorders>
            <w:top w:val="none" w:color="CBD2DA" w:sz="4" w:space="0"/>
            <w:left w:val="none" w:color="CBD2DA" w:sz="4" w:space="0"/>
            <w:bottom w:val="none" w:color="CBD2DA" w:sz="4" w:space="0"/>
            <w:right w:val="none" w:color="CBD2DA" w:sz="4" w:space="0"/>
            <w:insideH w:val="none" w:color="CBD2DA" w:sz="4" w:space="0"/>
            <w:insideV w:val="none" w:color="CBD2D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AA609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回放选样</w:t>
            </w:r>
            <w:r>
              <w:br w:type="textWrapping"/>
            </w:r>
            <w:r>
              <w:t>Kalb 等，ITSC 2022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BC3D6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同类双域任务；缓存 64 张带标签图；阶段结束时可访问完整当前阶段数据进行选样。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3EEF2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域实验双域均值：随机回放 56.2，表征选样和平均熵选样均为 57.2。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13DAD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选样收益在该协议中约 1 点；依赖已知阶段边界和额外选样计算，应先建立随机回放基线。</w:t>
            </w:r>
          </w:p>
        </w:tc>
      </w:tr>
      <w:tr w14:paraId="63D03B4A">
        <w:tblPrEx>
          <w:tblBorders>
            <w:top w:val="none" w:color="CBD2DA" w:sz="4" w:space="0"/>
            <w:left w:val="none" w:color="CBD2DA" w:sz="4" w:space="0"/>
            <w:bottom w:val="none" w:color="CBD2DA" w:sz="4" w:space="0"/>
            <w:right w:val="none" w:color="CBD2DA" w:sz="4" w:space="0"/>
            <w:insideH w:val="none" w:color="CBD2DA" w:sz="4" w:space="0"/>
            <w:insideV w:val="none" w:color="CBD2D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9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C8675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天气遗忘机理</w:t>
            </w:r>
            <w:r>
              <w:br w:type="textWrapping"/>
            </w:r>
            <w:r>
              <w:t>Kalb 与 Beyerer，CVPR 2023</w:t>
            </w:r>
          </w:p>
        </w:tc>
        <w:tc>
          <w:tcPr>
            <w:tcW w:w="302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DB016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Cityscapes→单个 ACDC 天气；四条独立两阶段实验；有标注且已知边界。</w:t>
            </w:r>
          </w:p>
        </w:tc>
        <w:tc>
          <w:tcPr>
            <w:tcW w:w="254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9B5EA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浅层表征与 BN 统计漂移关联遗忘；预训练＋增强＋CN 使四天气平均遗忘约由 29.3 降至 8.7 点。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45BA7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揭示域增量的灾难性遗忘原因，且</w:t>
            </w:r>
            <w:r>
              <w:t>最贴近天气问题</w:t>
            </w:r>
          </w:p>
        </w:tc>
      </w:tr>
      <w:tr w14:paraId="0E20F4D1">
        <w:tblPrEx>
          <w:tblBorders>
            <w:top w:val="none" w:color="CBD2DA" w:sz="4" w:space="0"/>
            <w:left w:val="none" w:color="CBD2DA" w:sz="4" w:space="0"/>
            <w:bottom w:val="none" w:color="CBD2DA" w:sz="4" w:space="0"/>
            <w:right w:val="none" w:color="CBD2DA" w:sz="4" w:space="0"/>
            <w:insideH w:val="none" w:color="CBD2DA" w:sz="4" w:space="0"/>
            <w:insideV w:val="none" w:color="CBD2D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2A634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JASCL</w:t>
            </w:r>
            <w:r>
              <w:br w:type="textWrapping"/>
            </w:r>
            <w:r>
              <w:t>Pandey 等，ICML 2026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E64E2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道路 BDD100K／Cityscapes／IDD 及医学序列；类、域联合变化；少量标注，半监督变体另加未标注数据；已知阶段、多轮训练。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B69C6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GAS 稳定梯度，PAS 筛选伪标签；半监督道路末阶段 mIoU：GAPS 14.45，叠加 JASCL 25.47（表 7）。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E07B9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可借鉴少标注学习与伪标签筛选；不是纯天气域变化</w:t>
            </w:r>
          </w:p>
        </w:tc>
      </w:tr>
      <w:tr w14:paraId="182EB86B">
        <w:tblPrEx>
          <w:tblBorders>
            <w:top w:val="none" w:color="CBD2DA" w:sz="4" w:space="0"/>
            <w:left w:val="none" w:color="CBD2DA" w:sz="4" w:space="0"/>
            <w:bottom w:val="none" w:color="CBD2DA" w:sz="4" w:space="0"/>
            <w:right w:val="none" w:color="CBD2DA" w:sz="4" w:space="0"/>
            <w:insideH w:val="none" w:color="CBD2DA" w:sz="4" w:space="0"/>
            <w:insideV w:val="none" w:color="CBD2D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061F1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SimCIS</w:t>
            </w:r>
            <w:r>
              <w:br w:type="textWrapping"/>
            </w:r>
            <w:r>
              <w:t>Zhu 等，CVPR 2025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7EC5F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ADE20K 类增量语义／全景分割；Mask2Former；已知阶段、新类像素标注；保存旧类虚拟查询。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83D45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查询预对齐＋选点一致性＋虚拟查询回放；100-5 协议最终全类 mIoU：SimCIS 38.7，BalConpas 33.8（表 3）。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C398E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可借鉴查询与像素特征对齐及特征回放</w:t>
            </w:r>
          </w:p>
        </w:tc>
      </w:tr>
      <w:tr w14:paraId="30A03176">
        <w:tblPrEx>
          <w:tblBorders>
            <w:top w:val="none" w:color="CBD2DA" w:sz="4" w:space="0"/>
            <w:left w:val="none" w:color="CBD2DA" w:sz="4" w:space="0"/>
            <w:bottom w:val="none" w:color="CBD2DA" w:sz="4" w:space="0"/>
            <w:right w:val="none" w:color="CBD2DA" w:sz="4" w:space="0"/>
            <w:insideH w:val="none" w:color="CBD2DA" w:sz="4" w:space="0"/>
            <w:insideV w:val="none" w:color="CBD2D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DABC5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TOPICS+</w:t>
            </w:r>
            <w:r>
              <w:br w:type="textWrapping"/>
            </w:r>
            <w:r>
              <w:t>Hindel 等，AMAI 2025</w:t>
            </w:r>
            <w:r>
              <w:br w:type="textWrapping"/>
            </w:r>
            <w:r>
              <w:t>章节在线发表 2026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34FFC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Endovis18／MM-OR／Syn-Mediverse 六种类增量协议，含粗类细化；新类像素标注；已知阶段；无历史样本回放。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45CD0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双曲类别树＋层次 Dice＋层级伪标签；MM-OR 11-1 最终全类 mIoU：TOPICS 35.81，TOPICS+ 42.69（表 1）。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18CC5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可借鉴类别关系与分层伪标签</w:t>
            </w:r>
          </w:p>
        </w:tc>
      </w:tr>
      <w:tr w14:paraId="5D005E0E">
        <w:tblPrEx>
          <w:tblBorders>
            <w:top w:val="none" w:color="CBD2DA" w:sz="4" w:space="0"/>
            <w:left w:val="none" w:color="CBD2DA" w:sz="4" w:space="0"/>
            <w:bottom w:val="none" w:color="CBD2DA" w:sz="4" w:space="0"/>
            <w:right w:val="none" w:color="CBD2DA" w:sz="4" w:space="0"/>
            <w:insideH w:val="none" w:color="CBD2DA" w:sz="4" w:space="0"/>
            <w:insideV w:val="none" w:color="CBD2D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5E716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UCB</w:t>
            </w:r>
            <w:r>
              <w:br w:type="textWrapping"/>
            </w:r>
            <w:r>
              <w:t>Liang 等，IEEE TIP 2025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FBEFF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VOC／ADE20K 类增量；新类有标注、旧类用伪标签；已知阶段、多轮训练；接入 PLOP／SSUL／CoinSeg。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6BDD5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不确定性与类别平衡联合加权；VOC 10-1 最终全类 mIoU：PLOP 30.45，加入 UCB 为 36.28（表 I）。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AAC4F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可借鉴伪标签可靠性与类别均衡；低熵仍可能错标，天气流须另验证</w:t>
            </w:r>
          </w:p>
        </w:tc>
      </w:tr>
      <w:tr w14:paraId="1BEF797C">
        <w:tblPrEx>
          <w:tblBorders>
            <w:top w:val="none" w:color="CBD2DA" w:sz="4" w:space="0"/>
            <w:left w:val="none" w:color="CBD2DA" w:sz="4" w:space="0"/>
            <w:bottom w:val="none" w:color="CBD2DA" w:sz="4" w:space="0"/>
            <w:right w:val="none" w:color="CBD2DA" w:sz="4" w:space="0"/>
            <w:insideH w:val="none" w:color="CBD2DA" w:sz="4" w:space="0"/>
            <w:insideV w:val="none" w:color="CBD2D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9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F4D15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EW-DETR</w:t>
            </w:r>
            <w:r>
              <w:br w:type="textWrapping"/>
            </w:r>
            <w:r>
              <w:t>Monga 等，CVPR 2026</w:t>
            </w:r>
          </w:p>
        </w:tc>
        <w:tc>
          <w:tcPr>
            <w:tcW w:w="302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B4C7F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Pascal 跨域及天气序列；类域同时增量目标检测；仅当前新类框标注；无旧图回放；已知任务边界。</w:t>
            </w:r>
          </w:p>
        </w:tc>
        <w:tc>
          <w:tcPr>
            <w:tcW w:w="254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1417B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t>双 LoRA 聚合强化旧类保持；VOC→Clipart 仅增量 LoRA 消融：旧类 AP 5.81→74.85，新类 AP 51.49→0.07（表 4）。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3E87D">
            <w:pPr>
              <w:pStyle w:val="12"/>
              <w:snapToGrid w:val="0"/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可借鉴参数高效更新及保持／适应分开评价；任务是检测，且保持旧类可能牺牲新类适应，须另做分割验证</w:t>
            </w:r>
          </w:p>
        </w:tc>
      </w:tr>
    </w:tbl>
    <w:p w14:paraId="4B529EB3">
      <w:pPr>
        <w:pStyle w:val="14"/>
      </w:pPr>
    </w:p>
    <w:p w14:paraId="12DE3327">
      <w:pPr>
        <w:pStyle w:val="3"/>
        <w:keepNext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p w14:paraId="7CE8E69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很多论文的基线都不止一个，那我的复现对象是不是也应该不止一个，从哪个开始</w:t>
      </w:r>
    </w:p>
    <w:p w14:paraId="2C6DCE5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复现对象是否</w:t>
      </w:r>
      <w:r>
        <w:rPr>
          <w:rFonts w:hint="eastAsia"/>
          <w:lang w:val="en-US" w:eastAsia="zh-CN"/>
        </w:rPr>
        <w:t>都要部署在机器人上，是否</w:t>
      </w:r>
      <w:r>
        <w:rPr>
          <w:rFonts w:hint="eastAsia"/>
        </w:rPr>
        <w:t>需要考虑机器人的</w:t>
      </w:r>
      <w:r>
        <w:rPr>
          <w:rFonts w:hint="eastAsia"/>
          <w:lang w:val="en-US" w:eastAsia="zh-CN"/>
        </w:rPr>
        <w:t>算力/</w:t>
      </w:r>
      <w:r>
        <w:rPr>
          <w:rFonts w:hint="eastAsia"/>
        </w:rPr>
        <w:t>参数量等问题</w:t>
      </w:r>
    </w:p>
    <w:p w14:paraId="5A5E59F9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是否可以对数据进行回放（考虑隐私等问题）</w:t>
      </w:r>
    </w:p>
    <w:p w14:paraId="55E25B19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t>域增量持续学习</w:t>
      </w:r>
      <w:r>
        <w:rPr>
          <w:rFonts w:hint="eastAsia"/>
          <w:lang w:val="en-US" w:eastAsia="zh-CN"/>
        </w:rPr>
        <w:t>在天气变化上是否有研究价值：</w:t>
      </w:r>
      <w:r>
        <w:t>雨、雾、雪等天气类型有限，模型也可以集中训练</w:t>
      </w:r>
    </w:p>
    <w:p w14:paraId="67FD7E98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阅读文献时发现文中有数值对不上的问题，如何甄别文献质量</w:t>
      </w:r>
    </w:p>
    <w:p w14:paraId="64F4DE0A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综述年份较早（24年），如何不遗漏后来提出的新方法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32B31">
    <w:pPr>
      <w:pStyle w:val="15"/>
      <w:jc w:val="right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B7C25">
    <w:pPr>
      <w:pStyle w:val="15"/>
    </w:pPr>
    <w:r>
      <w:t>本科毕业论文  ·  文献阅读汇报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DDD681"/>
    <w:multiLevelType w:val="singleLevel"/>
    <w:tmpl w:val="93DDD6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D757E41"/>
    <w:rsid w:val="1F834335"/>
    <w:rsid w:val="22182D17"/>
    <w:rsid w:val="2A843CD6"/>
    <w:rsid w:val="38A10ACF"/>
    <w:rsid w:val="56B3747A"/>
    <w:rsid w:val="61EE4054"/>
    <w:rsid w:val="697C34C8"/>
    <w:rsid w:val="6E086F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color w:val="202A35"/>
      <w:sz w:val="22"/>
    </w:rPr>
  </w:style>
  <w:style w:type="paragraph" w:styleId="2">
    <w:name w:val="heading 1"/>
    <w:next w:val="1"/>
    <w:qFormat/>
    <w:uiPriority w:val="0"/>
    <w:pPr>
      <w:spacing w:before="320" w:after="160" w:line="264" w:lineRule="auto"/>
    </w:pPr>
    <w:rPr>
      <w:rFonts w:ascii="Calibri" w:hAnsi="Calibri" w:eastAsia="微软雅黑" w:cstheme="minorBidi"/>
      <w:b/>
      <w:color w:val="2E74B5"/>
      <w:sz w:val="32"/>
    </w:rPr>
  </w:style>
  <w:style w:type="paragraph" w:styleId="3">
    <w:name w:val="heading 2"/>
    <w:next w:val="1"/>
    <w:qFormat/>
    <w:uiPriority w:val="0"/>
    <w:pPr>
      <w:spacing w:before="240" w:after="120" w:line="264" w:lineRule="auto"/>
    </w:pPr>
    <w:rPr>
      <w:rFonts w:ascii="Calibri" w:hAnsi="Calibri" w:eastAsia="微软雅黑" w:cstheme="minorBidi"/>
      <w:b/>
      <w:color w:val="2E74B5"/>
      <w:sz w:val="26"/>
    </w:rPr>
  </w:style>
  <w:style w:type="paragraph" w:styleId="4">
    <w:name w:val="heading 3"/>
    <w:next w:val="1"/>
    <w:qFormat/>
    <w:uiPriority w:val="0"/>
    <w:pPr>
      <w:spacing w:before="160" w:after="80" w:line="264" w:lineRule="auto"/>
    </w:pPr>
    <w:rPr>
      <w:rFonts w:ascii="Calibri" w:hAnsi="Calibri" w:eastAsia="微软雅黑" w:cstheme="minorBidi"/>
      <w:b/>
      <w:color w:val="1F4D78"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ubtitle"/>
    <w:next w:val="1"/>
    <w:qFormat/>
    <w:uiPriority w:val="0"/>
    <w:pPr>
      <w:spacing w:before="0" w:after="240" w:line="264" w:lineRule="auto"/>
    </w:pPr>
    <w:rPr>
      <w:rFonts w:ascii="Calibri" w:hAnsi="Calibri" w:eastAsia="微软雅黑" w:cstheme="minorBidi"/>
      <w:color w:val="566579"/>
      <w:sz w:val="20"/>
    </w:rPr>
  </w:style>
  <w:style w:type="paragraph" w:styleId="6">
    <w:name w:val="Title"/>
    <w:next w:val="5"/>
    <w:qFormat/>
    <w:uiPriority w:val="0"/>
    <w:pPr>
      <w:spacing w:before="0" w:after="90" w:line="264" w:lineRule="auto"/>
    </w:pPr>
    <w:rPr>
      <w:rFonts w:ascii="Calibri" w:hAnsi="Calibri" w:eastAsia="微软雅黑" w:cstheme="minorBidi"/>
      <w:b/>
      <w:color w:val="0B2545"/>
      <w:sz w:val="40"/>
    </w:rPr>
  </w:style>
  <w:style w:type="table" w:styleId="8">
    <w:name w:val="Table Grid"/>
    <w:basedOn w:val="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Lead"/>
    <w:uiPriority w:val="0"/>
    <w:pPr>
      <w:spacing w:before="0" w:after="180" w:line="264" w:lineRule="auto"/>
    </w:pPr>
    <w:rPr>
      <w:rFonts w:ascii="Calibri" w:hAnsi="Calibri" w:eastAsia="微软雅黑" w:cstheme="minorBidi"/>
      <w:color w:val="202A35"/>
      <w:sz w:val="21"/>
    </w:rPr>
  </w:style>
  <w:style w:type="paragraph" w:customStyle="1" w:styleId="11">
    <w:name w:val="Table Header"/>
    <w:qFormat/>
    <w:uiPriority w:val="0"/>
    <w:pPr>
      <w:spacing w:before="0" w:after="0" w:line="240" w:lineRule="auto"/>
    </w:pPr>
    <w:rPr>
      <w:rFonts w:ascii="Calibri" w:hAnsi="Calibri" w:eastAsia="微软雅黑" w:cstheme="minorBidi"/>
      <w:b/>
      <w:color w:val="202A35"/>
      <w:sz w:val="19"/>
    </w:rPr>
  </w:style>
  <w:style w:type="paragraph" w:customStyle="1" w:styleId="12">
    <w:name w:val="Table Body"/>
    <w:qFormat/>
    <w:uiPriority w:val="0"/>
    <w:pPr>
      <w:spacing w:before="0" w:after="0" w:line="240" w:lineRule="auto"/>
    </w:pPr>
    <w:rPr>
      <w:rFonts w:ascii="Calibri" w:hAnsi="Calibri" w:eastAsia="微软雅黑" w:cstheme="minorBidi"/>
      <w:color w:val="202A35"/>
      <w:sz w:val="19"/>
    </w:rPr>
  </w:style>
  <w:style w:type="paragraph" w:customStyle="1" w:styleId="13">
    <w:name w:val="Table Citation"/>
    <w:qFormat/>
    <w:uiPriority w:val="0"/>
    <w:pPr>
      <w:spacing w:before="80" w:after="80" w:line="240" w:lineRule="auto"/>
    </w:pPr>
    <w:rPr>
      <w:rFonts w:ascii="Calibri" w:hAnsi="Calibri" w:eastAsia="微软雅黑" w:cstheme="minorBidi"/>
      <w:color w:val="566579"/>
      <w:sz w:val="18"/>
    </w:rPr>
  </w:style>
  <w:style w:type="paragraph" w:customStyle="1" w:styleId="14">
    <w:name w:val="Note"/>
    <w:uiPriority w:val="0"/>
    <w:pPr>
      <w:spacing w:before="0" w:after="120" w:line="240" w:lineRule="auto"/>
    </w:pPr>
    <w:rPr>
      <w:rFonts w:ascii="Calibri" w:hAnsi="Calibri" w:eastAsia="微软雅黑" w:cstheme="minorBidi"/>
      <w:color w:val="566579"/>
      <w:sz w:val="18"/>
    </w:rPr>
  </w:style>
  <w:style w:type="paragraph" w:customStyle="1" w:styleId="15">
    <w:name w:val="Running"/>
    <w:uiPriority w:val="0"/>
    <w:pPr>
      <w:spacing w:before="0" w:after="0" w:line="240" w:lineRule="auto"/>
    </w:pPr>
    <w:rPr>
      <w:rFonts w:ascii="Calibri" w:hAnsi="Calibri" w:eastAsia="微软雅黑" w:cstheme="minorBidi"/>
      <w:color w:val="7A8798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1062</Words>
  <Characters>1873</Characters>
  <TotalTime>3</TotalTime>
  <ScaleCrop>false</ScaleCrop>
  <LinksUpToDate>false</LinksUpToDate>
  <CharactersWithSpaces>2028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2026-10-18T10:38:00Z</dcterms:created>
  <dc:creator>sissi</dc:creator>
  <cp:lastModifiedBy>胡周臻</cp:lastModifiedBy>
  <dcterms:modified xsi:type="dcterms:W3CDTF">2026-10-21T08:57:17Z</dcterms:modified>
  <dc:subject>本科毕业论文文献汇报</dc:subject>
  <dc:title>近两周文献阅读汇报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eyJoZGlkIjoiNzFkYTAzODc1OTI4MjVhMmUxM2FjNmFjZGNmZmI0ZTQiLCJ1c2VySWQiOiIyNTE5OTIxNTEifQ==</vt:lpwstr>
  </property>
  <property fmtid="{D5CDD505-2E9C-101B-9397-08002B2CF9AE}" pid="3" name="KSOProductBuildVer">
    <vt:lpwstr>2052-12.1.0.29161</vt:lpwstr>
  </property>
  <property fmtid="{D5CDD505-2E9C-101B-9397-08002B2CF9AE}" pid="4" name="ICV">
    <vt:lpwstr>83449F5D80D643F5B0870CFF206B4503_12</vt:lpwstr>
  </property>
</Properties>
</file>