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fac719a22c0440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一些数据库驱动包</w:t>
      </w:r>
      <w:r>
        <w:rPr>
          <w:rFonts w:hint="eastAsia"/>
        </w:rPr>
        <w:t>https://docs.microsoft.com/en-us/sql/connect/python/pymssql/step-1-configure-development-environment-for-pymssql-python-development?view=sql-server-2017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--user -i https://pypi.tuna.tsinghua.edu.cn/simple opencv-contrib-python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例如：</w:t>
      </w:r>
      <w:bookmarkStart w:id="0" w:name="OLE_LINK3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pip install -i </w:t>
      </w:r>
      <w:bookmarkStart w:id="1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bookmarkEnd w:id="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bookmarkStart w:id="5" w:name="_GoBack"/>
      <w:bookmarkEnd w:id="5"/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pyodbc 需要下载对应驱动程序才可以使用（整了一天发现需要另外安装驱动程序）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Tensorflow报cuda错误，修改tf版本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--upgrade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 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instrText xml:space="preserve"> HYPERLINK "https://mirrors.tuna.tsinghua.edu.cn/tensorflow/windows/gpu/tensorflow_gpu-1.3.0rc0-cp35-cp35m-win_amd64.whl" \t "https://blog.csdn.net/wobeatit/article/details/_blank"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separate"/>
      </w:r>
      <w:bookmarkStart w:id="2" w:name="OLE_LINK4"/>
      <w:bookmarkStart w:id="3" w:name="OLE_LINK5"/>
      <w:bookmarkStart w:id="4" w:name="OLE_LINK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https://mirrors.tuna.tsinghua.edu.cn</w:t>
      </w:r>
      <w:bookmarkEnd w:id="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/tensorflow/windows</w:t>
      </w:r>
      <w:bookmarkEnd w:id="3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/gpu</w:t>
      </w:r>
      <w:bookmarkEnd w:id="4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/tensorflow_gpu-1.3.0rc0-cp35-cp35m-win_amd64.whl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9281568"/>
    <w:rsid w:val="0AD22313"/>
    <w:rsid w:val="1C340DAC"/>
    <w:rsid w:val="1C901AB5"/>
    <w:rsid w:val="1FA433CF"/>
    <w:rsid w:val="25C63E1C"/>
    <w:rsid w:val="277C7F91"/>
    <w:rsid w:val="28310CCB"/>
    <w:rsid w:val="31185EA9"/>
    <w:rsid w:val="34C17F33"/>
    <w:rsid w:val="4282553F"/>
    <w:rsid w:val="493E0DDB"/>
    <w:rsid w:val="4F476A47"/>
    <w:rsid w:val="526744E2"/>
    <w:rsid w:val="52681073"/>
    <w:rsid w:val="52AB501A"/>
    <w:rsid w:val="568B5342"/>
    <w:rsid w:val="5B5870B9"/>
    <w:rsid w:val="61024293"/>
    <w:rsid w:val="63DD4CEE"/>
    <w:rsid w:val="67B66275"/>
    <w:rsid w:val="6F7E3B62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2018-07-20T02:35:23Z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