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数据获取--&gt;探索分析与可视化--&gt;预处理理论--&gt;分析建模--&gt;模型评估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数据获取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：1数据仓库--&gt;每次用户交互信息，文件和日志也可以，但是不方便查找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2解析网页，接口，文件信息（爬取网页，解析页面等）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3填写、日志、埋点（用户填写信息，特定流程的信息记录，记录叫交互信息）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4计算（通过已有数据计算生成衍生数据，如统计报表某些项目，投入产出比等）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数据库vs仓库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1数据库面向业务存储，仓库面向主题存储（主题：较高层次上对分析对象数据的一个完整且一致的描述），如购买图书就划为购买主题，什么时候买的，买的什么等等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2数据库针对应用--&gt;OLTP，数据仓库针对分析--&gt;OLAP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3数据库组织规范，仓库可能冗余，数据量大，变化大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数据竞赛网站（kaggle &amp; 天池）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数据集网站（imageNet / Open images）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各领域统计信息（统计局、政府机构、公司财报等）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"http://www.kaggle.com"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www.kaggle.com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"https://tianchi.aliyun.com/"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https://tianchi.aliyun.com/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image.net.org/index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单因子探索分析与可视化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集中趋势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：均值、中位数、众数、分为数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四分位数计算方法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：Q1位置 = (n+1) * 0.25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Q2位置 = (n+</w:t>
      </w:r>
      <w:r>
        <w:rPr>
          <w:rFonts w:hint="eastAsia" w:ascii="微软雅黑" w:hAnsi="微软雅黑" w:eastAsia="微软雅黑" w:cs="微软雅黑"/>
          <w:kern w:val="2"/>
          <w:position w:val="-12"/>
          <w:sz w:val="24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 *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1569720</wp:posOffset>
            </wp:positionH>
            <wp:positionV relativeFrom="paragraph">
              <wp:posOffset>138430</wp:posOffset>
            </wp:positionV>
            <wp:extent cx="2257425" cy="1485900"/>
            <wp:effectExtent l="0" t="0" r="9525" b="0"/>
            <wp:wrapNone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Q3位置 = (n+1) * 0.75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离中趋势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：标准差，方差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σ = </w:t>
      </w:r>
      <w:r>
        <w:rPr>
          <w:rFonts w:hint="eastAsia" w:ascii="微软雅黑" w:hAnsi="微软雅黑" w:eastAsia="微软雅黑" w:cs="微软雅黑"/>
          <w:kern w:val="2"/>
          <w:position w:val="-30"/>
          <w:sz w:val="24"/>
          <w:szCs w:val="24"/>
          <w:lang w:val="en-US" w:eastAsia="zh-CN" w:bidi="ar-SA"/>
        </w:rPr>
        <w:pict>
          <v:shape id="_x0000_s1026" o:spid="_x0000_s1026" o:spt="75" type="#_x0000_t75" style="position:absolute;left:0pt;margin-left:27.65pt;margin-top:-9.4pt;height:38pt;width:8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026" DrawAspect="Content" ObjectID="_1468075725" r:id="rId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正太分布方差特性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3722370</wp:posOffset>
            </wp:positionH>
            <wp:positionV relativeFrom="paragraph">
              <wp:posOffset>-277495</wp:posOffset>
            </wp:positionV>
            <wp:extent cx="2016760" cy="3568065"/>
            <wp:effectExtent l="0" t="0" r="2540" b="13335"/>
            <wp:wrapNone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数据分布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：偏态与峰态、正态分布与三大分布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808990</wp:posOffset>
            </wp:positionH>
            <wp:positionV relativeFrom="paragraph">
              <wp:posOffset>31750</wp:posOffset>
            </wp:positionV>
            <wp:extent cx="1200150" cy="457200"/>
            <wp:effectExtent l="0" t="0" r="0" b="0"/>
            <wp:wrapNone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偏态系数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例：1,2,3,4,10 均值4&gt;中位数3，正偏态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84455</wp:posOffset>
            </wp:positionV>
            <wp:extent cx="1457325" cy="904875"/>
            <wp:effectExtent l="0" t="0" r="9525" b="9525"/>
            <wp:wrapNone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峰态分布峰态系数一般为3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若峰态系数与3相差大于2一般认为不是正态分布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峰度系数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是用来反映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"https://baike.baidu.com/item/%E9%A2%91%E6%95%B0%E5%88%86%E5%B8%83" \t "https://baike.baidu.com/item/%E5%B3%B0%E5%BA%A6%E7%B3%BB%E6%95%B0/_blank"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频数分布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曲线顶端尖峭或扁平程度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的指标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在金融中，若某分布与正态分布有相同的方差，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但是峰度系数大于3，则呈现“尖峰厚尾”形态，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峰度更高，两段的尾部更厚，也就是极值更多的意思。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卡方分布：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几个变量都是标准正态分布，其平方和组成的分布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正态分布变量/卡方分布变量，常用来根据小样本来估计成正态分布，且方差未知的总体的均值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卡方分布变量/卡方分布变量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独立同分部的中心极限定理：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设随机变量X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，......独立同分布，并且具有有限的数学期望和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"https://baike.baidu.com/item/%E6%96%B9%E5%B7%AE" \t "https://baike.baidu.com/item/%E4%B8%AD%E5%BF%83%E6%9E%81%E9%99%90%E5%AE%9A%E7%90%86/_blank"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：E(X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)=μ，D(X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0(k=1,2....)，则对任意x，分布函数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790700" cy="419100"/>
            <wp:effectExtent l="0" t="0" r="0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该定理说明，当n很大时，随机变量</w:t>
      </w: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200150" cy="409575"/>
            <wp:effectExtent l="0" t="0" r="0" b="9525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近似地服从标准正态分布N(0，1)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抽样理论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：抽样误差、抽样精度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分类分层抽样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4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误差 = </w:t>
      </w: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7" o:spid="_x0000_s1027" o:spt="75" type="#_x0000_t75" style="position:absolute;left:0pt;margin-left:104.9pt;margin-top:-9.4pt;height:36pt;width:26pt;z-index:-25165516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7" DrawAspect="Content" ObjectID="_1468075726" r:id="rId12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n是抽样数量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8" o:spid="_x0000_s1028" o:spt="75" type="#_x0000_t75" style="position:absolute;left:0pt;margin-left:123.75pt;margin-top:4.55pt;height:36pt;width:64pt;z-index:-25165107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028" DrawAspect="Content" ObjectID="_1468075727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误差=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指定概率下抽样数目的确定：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定类（类别）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：根据事物离散、无差别属性进行分类（类别间无差距，如男、女）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定序（顺序）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：可以界定数据大小，不能测定插值（有差值，如高、中、低，不能衡量差值多少）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定距（间隔）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：可以界定数据大小的同时，可测差值，但无绝对零点（乘除无意义，如20度温度是10度的二倍，是不对的）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定比（比率）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：可界定数据大小，可测定差值，有绝对零点（如身高，体重）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单属性分析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异常值分析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：连续异常值（四分位差值的1.5~3倍，对应一般异常和重大异常），离散异常值（如空值，离散范围外的值），常识异常值（如身高5米）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对比分析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：绝对数与相对数，时间、空间、理论维度比较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结构分析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：各组成部分的分布与规律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分布分析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：数据分布频率的显式分析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101600</wp:posOffset>
            </wp:positionV>
            <wp:extent cx="4481830" cy="2165985"/>
            <wp:effectExtent l="0" t="0" r="13970" b="5715"/>
            <wp:wrapNone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pd聚合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def fun(attr):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return attr.max()-attr.min()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Pdg.agg(fun)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 = df['number_project']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number_pro[number_pro.isnull()]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number_pro.value_counts()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number_pro.value_counts(normalize=True).sort_index()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 = df['salary']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salary2 = salary.where(salary=="nme",other=False)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salary[salary2.where(salary2==False,other=True)]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Np.histogram(salary,bins=np.arrage(0.0,1.1,0.1)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可视化：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For x,y in zip(zuobiao,zhi):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Plt.text(x,y,y)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Import seaborn as sns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Sns.set_style(style=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wihtegrid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Sns.set_context(context=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poster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Sns.set_palette（[sns.color_palette(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RdBu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,n_colors=7)[5]]）    #调色板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Sns.countplot(x=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,hue=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department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,,data=df)  柱状图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直方图有意义的是面积，x轴是区间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 = plt.figure() #定义画布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F.add_subplot(1,3,1)#获取第一个画板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Sns.distplot(df[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satisfaction_level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],bins=10]，kde=False(分布图),hist=False(直方图)) 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Sns.pointplot(salary.index,salary) #折线图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Lbs = department.index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Explodes=[0.1 if i=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sales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else 0 for i in lbs]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Plt.pie(df[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department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].value_coutns(normalize=True),explode=explodes,labels=lbs,autopct=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%1.1f%%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，colors=sns.color_palette(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Reds) #饼图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折线图 sub_d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  <w:t>多因子分析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1、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假设检验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：建立原假设H0和反命题H1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选择检验统计量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根据显著性水平（一般为0.05，人为设定），确定拒绝域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计算样本统计值，作出判断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例子：洗衣粉标准重量500g，标准差2g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抽检 501.8，502.4,499,500.3,504.5,498.2,505.6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假设符合均值500，标准差2的正态分布</w:t>
      </w:r>
    </w:p>
    <w:p>
      <w:pPr>
        <w:keepNext w:val="0"/>
        <w:keepLines w:val="0"/>
        <w:pageBreakBefore w:val="0"/>
        <w:widowControl w:val="0"/>
        <w:tabs>
          <w:tab w:val="left" w:pos="3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635</wp:posOffset>
            </wp:positionV>
            <wp:extent cx="1272540" cy="426720"/>
            <wp:effectExtent l="0" t="0" r="7620" b="0"/>
            <wp:wrapNone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假设检验量 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，显著性水平0.05（值越低越契合假设）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-2494280</wp:posOffset>
            </wp:positionV>
            <wp:extent cx="5098415" cy="2659380"/>
            <wp:effectExtent l="0" t="0" r="6985" b="7620"/>
            <wp:wrapNone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图中阴影部分为接受域，非阴影部分为拒绝域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2、卡方检验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化妆与性别的关系，假设与性别无关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64770</wp:posOffset>
            </wp:positionV>
            <wp:extent cx="4138295" cy="2169160"/>
            <wp:effectExtent l="0" t="0" r="6985" b="10160"/>
            <wp:wrapNone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19"/>
        </w:tabs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4664075" cy="1242060"/>
            <wp:effectExtent l="0" t="0" r="14605" b="762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结果：0.05对应卡方值为3.841，计算值大于3.841，所以假设不成立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3、方差检验（因用到F分布，也叫F检验）：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检验样本两两之间关系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176530</wp:posOffset>
            </wp:positionV>
            <wp:extent cx="2148840" cy="731520"/>
            <wp:effectExtent l="0" t="0" r="0" b="0"/>
            <wp:wrapNone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总变差平方和：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193675</wp:posOffset>
            </wp:positionV>
            <wp:extent cx="2164080" cy="723900"/>
            <wp:effectExtent l="0" t="0" r="0" b="7620"/>
            <wp:wrapNone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平均平方和，组间平方和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2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28575</wp:posOffset>
            </wp:positionV>
            <wp:extent cx="2186940" cy="655320"/>
            <wp:effectExtent l="0" t="0" r="7620" b="0"/>
            <wp:wrapNone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残差平方和，组内平方和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方差检验统计量F，做假设检验（F满足自由度(m-1,n-m)的F分布）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-406400</wp:posOffset>
            </wp:positionV>
            <wp:extent cx="1828800" cy="571500"/>
            <wp:effectExtent l="0" t="0" r="0" b="762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例子：三种电池寿命均值是否有差别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-2296160</wp:posOffset>
            </wp:positionV>
            <wp:extent cx="4999355" cy="2468880"/>
            <wp:effectExtent l="0" t="0" r="14605" b="0"/>
            <wp:wrapNone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p值小于0.05，所以拒绝原假设，寿命均值是有差别的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4、相关系数：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皮尔逊相关系数、Spearman相关系数（只跟排序有关，和具体差值无关，比较适用于相对比较）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5、线性回归：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常用解法：最小二乘法。最小化误差平方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关键指标：决定系数，残差不相关（DW检验）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122555</wp:posOffset>
            </wp:positionV>
            <wp:extent cx="3955415" cy="2225040"/>
            <wp:effectExtent l="0" t="0" r="6985" b="0"/>
            <wp:wrapNone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决定系数：接近1，回归效果好，接近0，效果不好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残差不相关：取值范围0~4，接近2不相关，4正相关，0负相关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6、主成分分析（PCA）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64135</wp:posOffset>
            </wp:positionV>
            <wp:extent cx="4123055" cy="1257300"/>
            <wp:effectExtent l="0" t="0" r="6985" b="7620"/>
            <wp:wrapNone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7、交叉分析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stats.ttest_ind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sns.heatmap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8、分组分析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分组与钻取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钻取：改变维的层次，变换分析力度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向下钻取：展开数据，查看细节，一门考试每班一个分组，知道每个班平均成绩，男生女生各自平均分就是向下钻取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向下钻取：汇总分组数据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2731135</wp:posOffset>
            </wp:positionH>
            <wp:positionV relativeFrom="paragraph">
              <wp:posOffset>398780</wp:posOffset>
            </wp:positionV>
            <wp:extent cx="3087370" cy="1609725"/>
            <wp:effectExtent l="0" t="0" r="6350" b="5715"/>
            <wp:wrapNone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连续属性分组：需要首先离散化，相同分组聚拢，不同分组分离，可以用聚类分组，不纯度计算分组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不纯度Gini系数：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A是属性，B是分类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连续属性通过排序属性值，滑动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属性分割点计算对应基尼系数。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9、相关性分析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连续属性使用相关系数、Gini系数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二分属性可以使用Gini系数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多类离散属性：熵，编码转换为值使用皮尔逊相关系数（会有部分失真）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78740</wp:posOffset>
            </wp:positionV>
            <wp:extent cx="3953510" cy="1518285"/>
            <wp:effectExtent l="0" t="0" r="8890" b="5715"/>
            <wp:wrapNone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73660</wp:posOffset>
            </wp:positionV>
            <wp:extent cx="4953635" cy="1363980"/>
            <wp:effectExtent l="0" t="0" r="14605" b="7620"/>
            <wp:wrapNone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10、因子分析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10E7566"/>
    <w:rsid w:val="01687974"/>
    <w:rsid w:val="01DD3C63"/>
    <w:rsid w:val="02051F47"/>
    <w:rsid w:val="024C007D"/>
    <w:rsid w:val="02AD0A4A"/>
    <w:rsid w:val="02E60070"/>
    <w:rsid w:val="02F70A49"/>
    <w:rsid w:val="05FC4077"/>
    <w:rsid w:val="068A289D"/>
    <w:rsid w:val="06A51AA2"/>
    <w:rsid w:val="073B60FE"/>
    <w:rsid w:val="07DE2141"/>
    <w:rsid w:val="0ABB22B2"/>
    <w:rsid w:val="0AD22313"/>
    <w:rsid w:val="0C57241C"/>
    <w:rsid w:val="0DAA036A"/>
    <w:rsid w:val="0E2414D7"/>
    <w:rsid w:val="0E81610D"/>
    <w:rsid w:val="0F4B73A4"/>
    <w:rsid w:val="11712154"/>
    <w:rsid w:val="11D92929"/>
    <w:rsid w:val="125369E4"/>
    <w:rsid w:val="12960638"/>
    <w:rsid w:val="140559EC"/>
    <w:rsid w:val="14BC5E06"/>
    <w:rsid w:val="15E15D6C"/>
    <w:rsid w:val="16CA04FF"/>
    <w:rsid w:val="16EE1EE0"/>
    <w:rsid w:val="17DD1F3C"/>
    <w:rsid w:val="1836353A"/>
    <w:rsid w:val="18854778"/>
    <w:rsid w:val="1C340DAC"/>
    <w:rsid w:val="1C901AB5"/>
    <w:rsid w:val="1D5C7EF1"/>
    <w:rsid w:val="1EDD6DC1"/>
    <w:rsid w:val="1F3F0B33"/>
    <w:rsid w:val="1F9A4AC5"/>
    <w:rsid w:val="20D51F46"/>
    <w:rsid w:val="241B23DF"/>
    <w:rsid w:val="253B77B6"/>
    <w:rsid w:val="25C63E1C"/>
    <w:rsid w:val="26E11158"/>
    <w:rsid w:val="277C7F91"/>
    <w:rsid w:val="28525C27"/>
    <w:rsid w:val="2A763920"/>
    <w:rsid w:val="2B871300"/>
    <w:rsid w:val="2BB11335"/>
    <w:rsid w:val="2C034481"/>
    <w:rsid w:val="2CC8024A"/>
    <w:rsid w:val="2D843E7E"/>
    <w:rsid w:val="2F861C2B"/>
    <w:rsid w:val="2F990012"/>
    <w:rsid w:val="30E933DF"/>
    <w:rsid w:val="313B03B0"/>
    <w:rsid w:val="31A85AE5"/>
    <w:rsid w:val="32631BE3"/>
    <w:rsid w:val="331E6B21"/>
    <w:rsid w:val="33ED6A79"/>
    <w:rsid w:val="34305B5F"/>
    <w:rsid w:val="34860912"/>
    <w:rsid w:val="34B30F19"/>
    <w:rsid w:val="3525000E"/>
    <w:rsid w:val="35BF6DB0"/>
    <w:rsid w:val="36B17786"/>
    <w:rsid w:val="36F53525"/>
    <w:rsid w:val="370C6569"/>
    <w:rsid w:val="380569C3"/>
    <w:rsid w:val="38EE547B"/>
    <w:rsid w:val="39743733"/>
    <w:rsid w:val="39CC4495"/>
    <w:rsid w:val="3A455082"/>
    <w:rsid w:val="3ABF5D34"/>
    <w:rsid w:val="3AE4155E"/>
    <w:rsid w:val="3B8214CB"/>
    <w:rsid w:val="3C0B1254"/>
    <w:rsid w:val="3D1512DD"/>
    <w:rsid w:val="3DA1764A"/>
    <w:rsid w:val="3E2A7C14"/>
    <w:rsid w:val="3FB232DD"/>
    <w:rsid w:val="40A20854"/>
    <w:rsid w:val="419C044B"/>
    <w:rsid w:val="428C7B2A"/>
    <w:rsid w:val="438A784E"/>
    <w:rsid w:val="43D976DD"/>
    <w:rsid w:val="44AC76EC"/>
    <w:rsid w:val="44F26609"/>
    <w:rsid w:val="479165C6"/>
    <w:rsid w:val="484A06A4"/>
    <w:rsid w:val="493E0DDB"/>
    <w:rsid w:val="4AE04E53"/>
    <w:rsid w:val="4B817CBB"/>
    <w:rsid w:val="4B927745"/>
    <w:rsid w:val="4DF27D5C"/>
    <w:rsid w:val="4F476A47"/>
    <w:rsid w:val="5015515F"/>
    <w:rsid w:val="50F52799"/>
    <w:rsid w:val="51B84120"/>
    <w:rsid w:val="52AB501A"/>
    <w:rsid w:val="532D1E53"/>
    <w:rsid w:val="534C3E3C"/>
    <w:rsid w:val="547A2449"/>
    <w:rsid w:val="565A3AF1"/>
    <w:rsid w:val="56730A67"/>
    <w:rsid w:val="568C131C"/>
    <w:rsid w:val="57937B5B"/>
    <w:rsid w:val="595B5F07"/>
    <w:rsid w:val="5B170572"/>
    <w:rsid w:val="5B891F84"/>
    <w:rsid w:val="5BCF7675"/>
    <w:rsid w:val="5BD059B9"/>
    <w:rsid w:val="5CCD00D8"/>
    <w:rsid w:val="5E4530CC"/>
    <w:rsid w:val="5E9A4DA6"/>
    <w:rsid w:val="614E3D2D"/>
    <w:rsid w:val="61CE3BA1"/>
    <w:rsid w:val="64180AFB"/>
    <w:rsid w:val="65275D4D"/>
    <w:rsid w:val="65324EF5"/>
    <w:rsid w:val="658036D4"/>
    <w:rsid w:val="65DD4CB5"/>
    <w:rsid w:val="668801CB"/>
    <w:rsid w:val="67163F6B"/>
    <w:rsid w:val="683A7221"/>
    <w:rsid w:val="68AE6A3F"/>
    <w:rsid w:val="68E27C04"/>
    <w:rsid w:val="6A832619"/>
    <w:rsid w:val="6C344984"/>
    <w:rsid w:val="6CA97000"/>
    <w:rsid w:val="6D0C6714"/>
    <w:rsid w:val="6D652F06"/>
    <w:rsid w:val="6D6810CF"/>
    <w:rsid w:val="6EE35D7A"/>
    <w:rsid w:val="703D23D0"/>
    <w:rsid w:val="72D9378C"/>
    <w:rsid w:val="73630CFF"/>
    <w:rsid w:val="74230C55"/>
    <w:rsid w:val="75053E47"/>
    <w:rsid w:val="753132B5"/>
    <w:rsid w:val="767C3056"/>
    <w:rsid w:val="76E21158"/>
    <w:rsid w:val="76F25FEC"/>
    <w:rsid w:val="77CB6F70"/>
    <w:rsid w:val="78BF0792"/>
    <w:rsid w:val="78EC7BE3"/>
    <w:rsid w:val="78FA038C"/>
    <w:rsid w:val="79166082"/>
    <w:rsid w:val="7A0A7357"/>
    <w:rsid w:val="7BC83EFC"/>
    <w:rsid w:val="7BCC397A"/>
    <w:rsid w:val="7C6047F2"/>
    <w:rsid w:val="7D9D02E4"/>
    <w:rsid w:val="7E0B276D"/>
    <w:rsid w:val="7E51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mu</cp:lastModifiedBy>
  <cp:lastPrinted>2018-04-13T01:49:00Z</cp:lastPrinted>
  <dcterms:modified xsi:type="dcterms:W3CDTF">2018-06-03T15:30:55Z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