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66F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jc w:val="center"/>
        <w:textAlignment w:val="auto"/>
        <w:rPr>
          <w:rFonts w:hint="eastAsia"/>
          <w:sz w:val="28"/>
          <w:szCs w:val="28"/>
        </w:rPr>
      </w:pPr>
      <w:r>
        <w:rPr>
          <w:rFonts w:hint="eastAsia"/>
          <w:lang w:val="en-US" w:eastAsia="zh-CN"/>
        </w:rPr>
        <w:t>222288899</w:t>
      </w:r>
      <w:r>
        <w:rPr>
          <w:rFonts w:hint="eastAsia"/>
          <w:sz w:val="44"/>
          <w:szCs w:val="44"/>
        </w:rPr>
        <w:t>欠款催收管理系统设计方案</w:t>
      </w:r>
    </w:p>
    <w:p w14:paraId="076EF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jc w:val="left"/>
        <w:textAlignment w:val="auto"/>
        <w:rPr>
          <w:rStyle w:val="8"/>
          <w:rFonts w:hint="eastAsia"/>
          <w:sz w:val="28"/>
          <w:szCs w:val="28"/>
          <w:lang w:val="en-US" w:eastAsia="zh-CN"/>
        </w:rPr>
      </w:pPr>
    </w:p>
    <w:p w14:paraId="6CAE66A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8"/>
          <w:rFonts w:hint="eastAsia"/>
          <w:b/>
          <w:sz w:val="28"/>
          <w:szCs w:val="28"/>
        </w:rPr>
      </w:pPr>
      <w:r>
        <w:rPr>
          <w:rStyle w:val="8"/>
          <w:rFonts w:hint="eastAsia"/>
          <w:b/>
          <w:sz w:val="28"/>
          <w:szCs w:val="28"/>
          <w:lang w:val="en-US" w:eastAsia="zh-CN"/>
        </w:rPr>
        <w:t>一、</w:t>
      </w:r>
      <w:r>
        <w:rPr>
          <w:rStyle w:val="8"/>
          <w:rFonts w:hint="eastAsia"/>
          <w:b/>
          <w:sz w:val="28"/>
          <w:szCs w:val="28"/>
        </w:rPr>
        <w:t>设计目标</w:t>
      </w:r>
    </w:p>
    <w:p w14:paraId="550E206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Style w:val="9"/>
          <w:rFonts w:hint="eastAsia"/>
          <w:b/>
          <w:sz w:val="28"/>
          <w:szCs w:val="28"/>
        </w:rPr>
        <w:t xml:space="preserve">1.全生命周期跟踪： </w:t>
      </w:r>
    </w:p>
    <w:p w14:paraId="30ED5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实现对合同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发票</w:t>
      </w:r>
      <w:r>
        <w:rPr>
          <w:rFonts w:hint="eastAsia" w:ascii="仿宋" w:hAnsi="仿宋" w:eastAsia="仿宋" w:cs="仿宋"/>
          <w:sz w:val="28"/>
          <w:szCs w:val="28"/>
          <w:u w:color="auto"/>
        </w:rPr>
        <w:t>到款、欠款、催收、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清欠结果</w:t>
      </w:r>
      <w:r>
        <w:rPr>
          <w:rFonts w:hint="eastAsia" w:ascii="仿宋" w:hAnsi="仿宋" w:eastAsia="仿宋" w:cs="仿宋"/>
          <w:sz w:val="28"/>
          <w:szCs w:val="28"/>
          <w:u w:color="auto"/>
        </w:rPr>
        <w:t>的全流程数字化管理。﻿</w:t>
      </w:r>
    </w:p>
    <w:p w14:paraId="5BC416A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Style w:val="9"/>
          <w:rFonts w:hint="eastAsia"/>
          <w:b/>
          <w:sz w:val="28"/>
          <w:szCs w:val="28"/>
        </w:rPr>
        <w:t>2.自动化预警：</w:t>
      </w:r>
      <w:r>
        <w:rPr>
          <w:rFonts w:hint="eastAsia" w:ascii="仿宋" w:hAnsi="仿宋" w:eastAsia="仿宋" w:cs="仿宋"/>
          <w:sz w:val="28"/>
          <w:szCs w:val="28"/>
          <w:u w:color="auto"/>
        </w:rPr>
        <w:t xml:space="preserve"> </w:t>
      </w:r>
    </w:p>
    <w:p w14:paraId="350D0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系统自动识别合同结束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合同管理系统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或发票开出6个月</w:t>
      </w:r>
      <w:r>
        <w:rPr>
          <w:rFonts w:hint="eastAsia" w:ascii="仿宋" w:hAnsi="仿宋" w:eastAsia="仿宋" w:cs="仿宋"/>
          <w:sz w:val="28"/>
          <w:szCs w:val="28"/>
          <w:u w:color="auto"/>
        </w:rPr>
        <w:t>后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（开票申请系统无合同或未绑定合同）</w:t>
      </w:r>
      <w:r>
        <w:rPr>
          <w:rFonts w:hint="eastAsia" w:ascii="仿宋" w:hAnsi="仿宋" w:eastAsia="仿宋" w:cs="仿宋"/>
          <w:sz w:val="28"/>
          <w:szCs w:val="28"/>
          <w:u w:color="auto"/>
        </w:rPr>
        <w:t>的欠款，并触发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催收</w:t>
      </w:r>
      <w:r>
        <w:rPr>
          <w:rFonts w:hint="eastAsia" w:ascii="仿宋" w:hAnsi="仿宋" w:eastAsia="仿宋" w:cs="仿宋"/>
          <w:sz w:val="28"/>
          <w:szCs w:val="28"/>
          <w:u w:color="auto"/>
        </w:rPr>
        <w:t>机制。</w:t>
      </w:r>
    </w:p>
    <w:p w14:paraId="23B6D39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3.规范化催收流程： </w:t>
      </w:r>
    </w:p>
    <w:p w14:paraId="0FDFF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将催收动作（公告、催款函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律师函、诉讼</w:t>
      </w:r>
      <w:r>
        <w:rPr>
          <w:rFonts w:hint="eastAsia" w:ascii="仿宋" w:hAnsi="仿宋" w:eastAsia="仿宋" w:cs="仿宋"/>
          <w:sz w:val="28"/>
          <w:szCs w:val="28"/>
          <w:u w:color="auto"/>
        </w:rPr>
        <w:t>等）标准化、流程化，确保执行到位。</w:t>
      </w:r>
    </w:p>
    <w:p w14:paraId="38E872D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4.辅助决策支持： </w:t>
      </w:r>
    </w:p>
    <w:p w14:paraId="65154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提供月管理报表和</w:t>
      </w:r>
      <w:r>
        <w:rPr>
          <w:rFonts w:hint="eastAsia" w:ascii="仿宋" w:hAnsi="仿宋" w:eastAsia="仿宋" w:cs="仿宋"/>
          <w:sz w:val="28"/>
          <w:szCs w:val="28"/>
          <w:u w:color="auto"/>
        </w:rPr>
        <w:t>数据看板，为管理提供欠款分析、催收效率、坏账风险等决策依据。</w:t>
      </w:r>
    </w:p>
    <w:p w14:paraId="2E3E49B1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风险规避： </w:t>
      </w:r>
    </w:p>
    <w:p w14:paraId="44EC9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完整记录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保存催收</w:t>
      </w:r>
      <w:r>
        <w:rPr>
          <w:rFonts w:hint="eastAsia" w:ascii="仿宋" w:hAnsi="仿宋" w:eastAsia="仿宋" w:cs="仿宋"/>
          <w:sz w:val="28"/>
          <w:szCs w:val="28"/>
          <w:u w:color="auto"/>
        </w:rPr>
        <w:t>过程与结果，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规避法律和财务风险</w:t>
      </w:r>
      <w:r>
        <w:rPr>
          <w:rFonts w:hint="eastAsia" w:ascii="仿宋" w:hAnsi="仿宋" w:eastAsia="仿宋" w:cs="仿宋"/>
          <w:sz w:val="28"/>
          <w:szCs w:val="28"/>
          <w:u w:color="auto"/>
        </w:rPr>
        <w:t>。﻿</w:t>
      </w:r>
    </w:p>
    <w:p w14:paraId="4F524D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8"/>
          <w:rFonts w:hint="eastAsia"/>
          <w:b/>
          <w:sz w:val="28"/>
          <w:szCs w:val="28"/>
        </w:rPr>
      </w:pPr>
      <w:r>
        <w:rPr>
          <w:rStyle w:val="8"/>
          <w:rFonts w:hint="eastAsia"/>
          <w:b/>
          <w:sz w:val="28"/>
          <w:szCs w:val="28"/>
          <w:lang w:val="en-US" w:eastAsia="zh-CN"/>
        </w:rPr>
        <w:t>二</w:t>
      </w:r>
      <w:r>
        <w:rPr>
          <w:rStyle w:val="8"/>
          <w:rFonts w:hint="eastAsia"/>
          <w:b/>
          <w:sz w:val="28"/>
          <w:szCs w:val="28"/>
          <w:lang w:eastAsia="zh-CN"/>
        </w:rPr>
        <w:t>、</w:t>
      </w:r>
      <w:r>
        <w:rPr>
          <w:rStyle w:val="8"/>
          <w:rFonts w:hint="eastAsia"/>
          <w:b/>
          <w:sz w:val="28"/>
          <w:szCs w:val="28"/>
        </w:rPr>
        <w:t>核心功能模块﻿</w:t>
      </w:r>
    </w:p>
    <w:p w14:paraId="25686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系统围绕“合同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/发票</w:t>
      </w:r>
      <w:r>
        <w:rPr>
          <w:rFonts w:hint="eastAsia" w:ascii="仿宋" w:hAnsi="仿宋" w:eastAsia="仿宋" w:cs="仿宋"/>
          <w:sz w:val="28"/>
          <w:szCs w:val="28"/>
          <w:u w:color="auto"/>
        </w:rPr>
        <w:t>-&gt;到款-&gt;欠款认定-&gt;催收行动-&gt;最终处置”主线。</w:t>
      </w:r>
    </w:p>
    <w:p w14:paraId="3236756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9"/>
          <w:rFonts w:hint="eastAsia"/>
          <w:b/>
          <w:sz w:val="28"/>
          <w:szCs w:val="28"/>
        </w:rPr>
      </w:pPr>
      <w:r>
        <w:rPr>
          <w:rStyle w:val="9"/>
          <w:rFonts w:hint="eastAsia"/>
          <w:b/>
          <w:sz w:val="28"/>
          <w:szCs w:val="28"/>
        </w:rPr>
        <w:t>模块一：合同与到款管理</w:t>
      </w:r>
    </w:p>
    <w:p w14:paraId="1B5D893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10"/>
          <w:rFonts w:hint="eastAsia"/>
          <w:b/>
          <w:sz w:val="28"/>
          <w:szCs w:val="28"/>
          <w:lang w:eastAsia="zh-CN"/>
        </w:rPr>
      </w:pPr>
      <w:r>
        <w:rPr>
          <w:rStyle w:val="10"/>
          <w:rFonts w:hint="eastAsia"/>
          <w:b/>
          <w:sz w:val="28"/>
          <w:szCs w:val="28"/>
        </w:rPr>
        <w:t>合同信息管理</w:t>
      </w:r>
      <w:r>
        <w:rPr>
          <w:rStyle w:val="10"/>
          <w:rFonts w:hint="eastAsia"/>
          <w:b/>
          <w:sz w:val="28"/>
          <w:szCs w:val="28"/>
          <w:lang w:eastAsia="zh-CN"/>
        </w:rPr>
        <w:t>（</w:t>
      </w:r>
      <w:r>
        <w:rPr>
          <w:rStyle w:val="10"/>
          <w:rFonts w:hint="eastAsia"/>
          <w:b/>
          <w:sz w:val="28"/>
          <w:szCs w:val="28"/>
          <w:lang w:val="en-US" w:eastAsia="zh-CN"/>
        </w:rPr>
        <w:t>合同管理系统已实现</w:t>
      </w:r>
      <w:r>
        <w:rPr>
          <w:rStyle w:val="10"/>
          <w:rFonts w:hint="eastAsia"/>
          <w:b/>
          <w:sz w:val="28"/>
          <w:szCs w:val="28"/>
          <w:lang w:eastAsia="zh-CN"/>
        </w:rPr>
        <w:t>）</w:t>
      </w:r>
    </w:p>
    <w:p w14:paraId="08F54F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记录合同基本信息（编号、名称、客户、金额、签约日期、合作起止日期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开票情况、到款情况</w:t>
      </w:r>
      <w:r>
        <w:rPr>
          <w:rFonts w:hint="eastAsia" w:ascii="仿宋" w:hAnsi="仿宋" w:eastAsia="仿宋" w:cs="仿宋"/>
          <w:sz w:val="28"/>
          <w:szCs w:val="28"/>
          <w:u w:color="auto"/>
        </w:rPr>
        <w:t>等）。</w:t>
      </w:r>
    </w:p>
    <w:p w14:paraId="2CDC15C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10"/>
          <w:rFonts w:hint="eastAsia"/>
          <w:b/>
          <w:sz w:val="28"/>
          <w:szCs w:val="28"/>
          <w:lang w:val="en-US" w:eastAsia="zh-CN"/>
        </w:rPr>
      </w:pPr>
      <w:r>
        <w:rPr>
          <w:rStyle w:val="10"/>
          <w:rFonts w:hint="eastAsia"/>
          <w:b/>
          <w:sz w:val="28"/>
          <w:szCs w:val="28"/>
          <w:lang w:val="en-US" w:eastAsia="zh-CN"/>
        </w:rPr>
        <w:t>发票信息管理（开票申请系统已实现）</w:t>
      </w:r>
    </w:p>
    <w:p w14:paraId="7DA70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记录发票基本信息（</w:t>
      </w:r>
      <w:r>
        <w:rPr>
          <w:rFonts w:hint="eastAsia" w:ascii="仿宋" w:hAnsi="仿宋" w:eastAsia="仿宋" w:cs="仿宋"/>
          <w:sz w:val="28"/>
          <w:szCs w:val="28"/>
          <w:u w:color="auto"/>
        </w:rPr>
        <w:t>名称、客户、金额、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开票日期、到款情况、关联合同等）。</w:t>
      </w:r>
    </w:p>
    <w:p w14:paraId="4E7119A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10"/>
          <w:rFonts w:hint="eastAsia"/>
          <w:b/>
          <w:sz w:val="28"/>
          <w:szCs w:val="28"/>
          <w:lang w:eastAsia="zh-CN"/>
        </w:rPr>
      </w:pPr>
      <w:r>
        <w:rPr>
          <w:rStyle w:val="10"/>
          <w:rFonts w:hint="eastAsia"/>
          <w:b/>
          <w:sz w:val="28"/>
          <w:szCs w:val="28"/>
        </w:rPr>
        <w:t>到款记录管理</w:t>
      </w:r>
      <w:r>
        <w:rPr>
          <w:rStyle w:val="10"/>
          <w:rFonts w:hint="eastAsia"/>
          <w:b/>
          <w:sz w:val="28"/>
          <w:szCs w:val="28"/>
          <w:lang w:eastAsia="zh-CN"/>
        </w:rPr>
        <w:t>（</w:t>
      </w:r>
      <w:r>
        <w:rPr>
          <w:rStyle w:val="10"/>
          <w:rFonts w:hint="eastAsia"/>
          <w:b/>
          <w:sz w:val="28"/>
          <w:szCs w:val="28"/>
          <w:lang w:val="en-US" w:eastAsia="zh-CN"/>
        </w:rPr>
        <w:t>已基本实现、后期由金蝶系统自动同步过来</w:t>
      </w:r>
      <w:r>
        <w:rPr>
          <w:rStyle w:val="10"/>
          <w:rFonts w:hint="eastAsia"/>
          <w:b/>
          <w:sz w:val="28"/>
          <w:szCs w:val="28"/>
          <w:lang w:eastAsia="zh-CN"/>
        </w:rPr>
        <w:t>）</w:t>
      </w:r>
    </w:p>
    <w:p w14:paraId="366B38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  <w:u w:color="auto"/>
        </w:rPr>
        <w:t>记录每一笔收款（到款日期、金额、方式、关联的合同、发票等）。﻿</w:t>
      </w:r>
    </w:p>
    <w:p w14:paraId="3D38D5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  <w:u w:color="auto"/>
        </w:rPr>
        <w:t>系统自动计算并更新合同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/发票</w:t>
      </w:r>
      <w:r>
        <w:rPr>
          <w:rFonts w:hint="eastAsia" w:ascii="仿宋" w:hAnsi="仿宋" w:eastAsia="仿宋" w:cs="仿宋"/>
          <w:sz w:val="28"/>
          <w:szCs w:val="28"/>
          <w:u w:color="auto"/>
        </w:rPr>
        <w:t>的已收款金额和待收款金额。﻿</w:t>
      </w:r>
    </w:p>
    <w:p w14:paraId="433F33A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Style w:val="10"/>
          <w:rFonts w:hint="eastAsia"/>
          <w:b/>
          <w:sz w:val="28"/>
          <w:szCs w:val="28"/>
        </w:rPr>
        <w:t>欠款自动识别</w:t>
      </w:r>
      <w:r>
        <w:rPr>
          <w:rStyle w:val="10"/>
          <w:rFonts w:hint="eastAsia"/>
          <w:b/>
          <w:sz w:val="28"/>
          <w:szCs w:val="28"/>
          <w:lang w:eastAsia="zh-CN"/>
        </w:rPr>
        <w:t>（</w:t>
      </w:r>
      <w:r>
        <w:rPr>
          <w:rStyle w:val="10"/>
          <w:rFonts w:hint="eastAsia"/>
          <w:b/>
          <w:sz w:val="28"/>
          <w:szCs w:val="28"/>
          <w:lang w:val="en-US" w:eastAsia="zh-CN"/>
        </w:rPr>
        <w:t>已实现企业微信通知</w:t>
      </w:r>
      <w:r>
        <w:rPr>
          <w:rStyle w:val="10"/>
          <w:rFonts w:hint="eastAsia"/>
          <w:b/>
          <w:sz w:val="28"/>
          <w:szCs w:val="28"/>
          <w:lang w:eastAsia="zh-CN"/>
        </w:rPr>
        <w:t>）</w:t>
      </w:r>
    </w:p>
    <w:p w14:paraId="3DCDD04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触发条件：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合同系统记录的</w:t>
      </w:r>
      <w:r>
        <w:rPr>
          <w:rFonts w:hint="eastAsia" w:ascii="仿宋" w:hAnsi="仿宋" w:eastAsia="仿宋" w:cs="仿宋"/>
          <w:sz w:val="28"/>
          <w:szCs w:val="28"/>
          <w:u w:color="auto"/>
        </w:rPr>
        <w:t>合作结束日期已过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或开票申请系统无合同或未绑定合同的发票开出超6个月</w:t>
      </w:r>
      <w:r>
        <w:rPr>
          <w:rFonts w:hint="eastAsia" w:ascii="仿宋" w:hAnsi="仿宋" w:eastAsia="仿宋" w:cs="仿宋"/>
          <w:sz w:val="28"/>
          <w:szCs w:val="28"/>
          <w:u w:color="auto"/>
        </w:rPr>
        <w:t>。</w:t>
      </w:r>
    </w:p>
    <w:p w14:paraId="0AC2562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 xml:space="preserve">核心逻辑：系统自动检查 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“</w:t>
      </w:r>
      <w:r>
        <w:rPr>
          <w:rFonts w:hint="eastAsia" w:ascii="仿宋" w:hAnsi="仿宋" w:eastAsia="仿宋" w:cs="仿宋"/>
          <w:sz w:val="28"/>
          <w:szCs w:val="28"/>
          <w:u w:color="auto"/>
        </w:rPr>
        <w:t>待收款金额 &gt; 0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”</w:t>
      </w:r>
      <w:r>
        <w:rPr>
          <w:rFonts w:hint="eastAsia" w:ascii="仿宋" w:hAnsi="仿宋" w:eastAsia="仿宋" w:cs="仿宋"/>
          <w:sz w:val="28"/>
          <w:szCs w:val="28"/>
          <w:u w:color="auto"/>
        </w:rPr>
        <w:t xml:space="preserve"> 的合同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或发票</w:t>
      </w:r>
      <w:r>
        <w:rPr>
          <w:rFonts w:hint="eastAsia" w:ascii="仿宋" w:hAnsi="仿宋" w:eastAsia="仿宋" w:cs="仿宋"/>
          <w:sz w:val="28"/>
          <w:szCs w:val="28"/>
          <w:u w:color="auto"/>
        </w:rPr>
        <w:t>。﻿</w:t>
      </w:r>
    </w:p>
    <w:p w14:paraId="549836F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结果：自动生成“欠款催收清单”，并进入催收管理模块的待处理队列。</w:t>
      </w:r>
    </w:p>
    <w:p w14:paraId="75E32F6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 w:ascii="仿宋" w:hAnsi="仿宋" w:eastAsia="宋体" w:cs="仿宋"/>
          <w:sz w:val="28"/>
          <w:szCs w:val="28"/>
          <w:u w:color="auto"/>
          <w:lang w:val="en-US" w:eastAsia="zh-CN"/>
        </w:rPr>
      </w:pPr>
      <w:r>
        <w:rPr>
          <w:rStyle w:val="9"/>
          <w:rFonts w:hint="eastAsia"/>
          <w:b/>
          <w:sz w:val="28"/>
          <w:szCs w:val="28"/>
        </w:rPr>
        <w:t>模块二：催收管理</w:t>
      </w:r>
      <w:r>
        <w:rPr>
          <w:rStyle w:val="9"/>
          <w:rFonts w:hint="eastAsia"/>
          <w:b/>
          <w:sz w:val="28"/>
          <w:szCs w:val="28"/>
          <w:lang w:val="en-US" w:eastAsia="zh-CN"/>
        </w:rPr>
        <w:t xml:space="preserve"> （重要）</w:t>
      </w:r>
    </w:p>
    <w:p w14:paraId="7816F40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Style w:val="10"/>
          <w:rFonts w:hint="eastAsia"/>
          <w:b/>
          <w:sz w:val="28"/>
          <w:szCs w:val="28"/>
        </w:rPr>
      </w:pPr>
      <w:r>
        <w:rPr>
          <w:rStyle w:val="10"/>
          <w:rFonts w:hint="eastAsia"/>
          <w:b/>
          <w:sz w:val="28"/>
          <w:szCs w:val="28"/>
        </w:rPr>
        <w:t>催收行动</w:t>
      </w:r>
    </w:p>
    <w:p w14:paraId="4AC1108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自动生成</w:t>
      </w:r>
      <w:r>
        <w:rPr>
          <w:rFonts w:hint="eastAsia" w:ascii="仿宋" w:hAnsi="仿宋" w:eastAsia="仿宋" w:cs="仿宋"/>
          <w:sz w:val="28"/>
          <w:szCs w:val="28"/>
          <w:u w:color="auto"/>
        </w:rPr>
        <w:t>“欠款催收清单”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并推送到对应业务经办，由业务补充或确认相关信息（对方单位必要信息和拖欠原因）；</w:t>
      </w:r>
    </w:p>
    <w:p w14:paraId="319D5F0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业务经办选择催收方式：自行继续催收、发布公告、发催款函（无邮寄催款函必要信息跳到第一步补充确认）、发律师函（同上）、提起诉讼、坏账核销；</w:t>
      </w:r>
    </w:p>
    <w:p w14:paraId="267D280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业务经办确认后的</w:t>
      </w:r>
      <w:r>
        <w:rPr>
          <w:rFonts w:hint="eastAsia" w:ascii="仿宋" w:hAnsi="仿宋" w:eastAsia="仿宋" w:cs="仿宋"/>
          <w:sz w:val="28"/>
          <w:szCs w:val="28"/>
          <w:u w:color="auto"/>
        </w:rPr>
        <w:t>“欠款催收清单”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推送到部门负责人确认审核；</w:t>
      </w:r>
    </w:p>
    <w:p w14:paraId="21467BE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70" w:leftChars="0" w:firstLine="56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  <w:u w:color="auto"/>
          <w:lang w:val="en-US" w:eastAsia="zh-CN"/>
        </w:rPr>
        <w:t>发布公告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的，</w:t>
      </w:r>
      <w:r>
        <w:rPr>
          <w:rFonts w:hint="eastAsia" w:ascii="仿宋" w:hAnsi="仿宋" w:eastAsia="仿宋" w:cs="仿宋"/>
          <w:sz w:val="28"/>
          <w:szCs w:val="28"/>
          <w:highlight w:val="yellow"/>
          <w:u w:color="auto"/>
          <w:lang w:val="en-US" w:eastAsia="zh-CN"/>
        </w:rPr>
        <w:t>部门负责人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同意后回到</w:t>
      </w:r>
      <w:r>
        <w:rPr>
          <w:rFonts w:hint="eastAsia" w:ascii="仿宋" w:hAnsi="仿宋" w:eastAsia="仿宋" w:cs="仿宋"/>
          <w:sz w:val="28"/>
          <w:szCs w:val="28"/>
          <w:highlight w:val="yellow"/>
          <w:u w:color="auto"/>
          <w:lang w:val="en-US" w:eastAsia="zh-CN"/>
        </w:rPr>
        <w:t>业务经办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，由业务经办记录后期内容（上传发布公告相关附件和时间）；</w:t>
      </w:r>
    </w:p>
    <w:p w14:paraId="2EC8CF7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70" w:leftChars="0" w:firstLine="560" w:firstLineChars="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发催款函的，部门负责人同意后推送到对口会计，由会计记录后期内容（催款函相关附件和时间）；</w:t>
      </w:r>
    </w:p>
    <w:p w14:paraId="0B528AE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70" w:leftChars="0" w:firstLine="560" w:firstLineChars="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发律师函的，部门负责人同意后推送到法务，由法务记录后期内容进展（律师函相关附件和时间。律所信息）；</w:t>
      </w:r>
    </w:p>
    <w:p w14:paraId="1A2712F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70" w:leftChars="0" w:firstLine="560" w:firstLineChars="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发律诉讼的，部门负责人同意后推送到法务，由法务记录后期内容进展；（立案日期、案号、法院、判决结果、执行情况，相关附件。律所信息）</w:t>
      </w:r>
    </w:p>
    <w:p w14:paraId="4AE0A88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70" w:leftChars="0" w:firstLine="560" w:firstLineChars="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提请坏账核销的，需上传相关材料（上会记录等），部门负责人同意后推送对口会计，对口会计账务处理后确认核销（录入凭证号）；</w:t>
      </w:r>
    </w:p>
    <w:p w14:paraId="429E771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70" w:leftChars="0" w:firstLine="560" w:firstLineChars="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提请坏账核销的，如果对方单位存续的、或通过诉讼虽胜诉但债务方无财产可立即执行的，需选择“账销案全”，“账销案全”的可单独成表格。</w:t>
      </w:r>
    </w:p>
    <w:p w14:paraId="01A06A7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部门负责人可同意或驳回业务经办推送的</w:t>
      </w:r>
      <w:r>
        <w:rPr>
          <w:rFonts w:hint="eastAsia" w:ascii="仿宋" w:hAnsi="仿宋" w:eastAsia="仿宋" w:cs="仿宋"/>
          <w:sz w:val="28"/>
          <w:szCs w:val="28"/>
          <w:u w:color="auto"/>
        </w:rPr>
        <w:t>“欠款催收清单”</w:t>
      </w: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，部门负责人“同意或自行决定”不采取行动（自行继续催收）的推送到分管领导审核确认。确认后催款措施更新为“自行催收”。</w:t>
      </w:r>
    </w:p>
    <w:p w14:paraId="35829F1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各环节人员可输入备注内容，备注内容不覆盖全部显示：“年月日XXX:内容”</w:t>
      </w:r>
    </w:p>
    <w:p w14:paraId="0E333FD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催收过程和结果记录</w:t>
      </w:r>
    </w:p>
    <w:p w14:paraId="782128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记录进入催收流程后业务及相关人员采取的催收动作、审核反馈流程及附件，当节点负责人采取相关操作后更新催款措施内容（如会计上传催款函附件后更新催款措施为：年月日XXX已发催款函。法务诉讼的：年月日发起诉讼、诉讼中、已胜诉，点击状态查看附件等详情）。</w:t>
      </w:r>
    </w:p>
    <w:p w14:paraId="76D803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催款措施实施6个月后，如果催款未结清的，进入下一轮催款流程。</w:t>
      </w:r>
    </w:p>
    <w:p w14:paraId="625EC0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欠款逾期3年（账龄）的，只能选择提起诉讼。</w:t>
      </w:r>
    </w:p>
    <w:p w14:paraId="1D09F7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欠款逾期5年（账龄）的，提醒核销。</w:t>
      </w:r>
    </w:p>
    <w:p w14:paraId="3CACCF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催款措施不覆盖，罗列所有已采取的措施。</w:t>
      </w:r>
    </w:p>
    <w:p w14:paraId="22FC77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记录最终结果是否到款，已到款的无需操作，到款后自动销账，欠款自动记录为0，催款措施自动新增“年月日已结清”</w:t>
      </w:r>
    </w:p>
    <w:p w14:paraId="0EB239F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2" w:firstLineChars="200"/>
        <w:textAlignment w:val="auto"/>
        <w:rPr>
          <w:rFonts w:hint="eastAsia"/>
          <w:lang w:val="en-US" w:eastAsia="zh-CN"/>
        </w:rPr>
      </w:pPr>
      <w:r>
        <w:rPr>
          <w:rStyle w:val="8"/>
          <w:rFonts w:hint="eastAsia"/>
          <w:b/>
          <w:sz w:val="28"/>
          <w:szCs w:val="28"/>
        </w:rPr>
        <w:t>模块</w:t>
      </w:r>
      <w:r>
        <w:rPr>
          <w:rStyle w:val="8"/>
          <w:rFonts w:hint="eastAsia"/>
          <w:b/>
          <w:sz w:val="28"/>
          <w:szCs w:val="28"/>
          <w:lang w:val="en-US" w:eastAsia="zh-CN"/>
        </w:rPr>
        <w:t>三</w:t>
      </w:r>
      <w:r>
        <w:rPr>
          <w:rStyle w:val="8"/>
          <w:rFonts w:hint="eastAsia"/>
          <w:b/>
          <w:sz w:val="28"/>
          <w:szCs w:val="28"/>
        </w:rPr>
        <w:t>：统计分析与看板</w:t>
      </w:r>
    </w:p>
    <w:p w14:paraId="64619DE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622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业务看板</w:t>
      </w:r>
    </w:p>
    <w:p w14:paraId="0BFFF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t>欠款总览看板</w:t>
      </w:r>
      <w:r>
        <w:rPr>
          <w:rFonts w:hint="eastAsia" w:ascii="仿宋" w:hAnsi="仿宋" w:eastAsia="仿宋" w:cs="仿宋"/>
          <w:sz w:val="28"/>
          <w:szCs w:val="28"/>
          <w:u w:color="auto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u w:color="auto"/>
        </w:rPr>
        <w:t> 欠款总额、按账龄分布（30天、60天、90天以上）、按客户分布、按部门分布。﻿</w:t>
      </w:r>
    </w:p>
    <w:p w14:paraId="7C26793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622" w:firstLineChars="200"/>
        <w:textAlignment w:val="auto"/>
        <w:rPr>
          <w:rFonts w:hint="eastAsia" w:ascii="仿宋" w:hAnsi="仿宋" w:eastAsia="仿宋" w:cs="仿宋"/>
          <w:sz w:val="28"/>
          <w:szCs w:val="28"/>
          <w:u w:color="auto"/>
        </w:rPr>
      </w:pPr>
      <w:r>
        <w:rPr>
          <w:rFonts w:hint="eastAsia"/>
          <w:lang w:val="en-US" w:eastAsia="zh-CN"/>
        </w:rPr>
        <w:t>管理报表（重要）</w:t>
      </w:r>
    </w:p>
    <w:p w14:paraId="2E95FD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按部门、合同编号、债务方名称、业务时间（签订年份或开出发票年份）、清欠状态（业务催款、公告、催款函、律师函、诉讼）、清欠结果（已到款、清欠中、胜诉、败诉）等过滤和导出报表：</w:t>
      </w:r>
    </w:p>
    <w:p w14:paraId="0ECDFD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逾期欠款明细表</w:t>
      </w:r>
    </w:p>
    <w:p w14:paraId="2E699F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u w:color="auto"/>
          <w:lang w:val="en-US" w:eastAsia="zh-CN"/>
        </w:rPr>
        <w:t>部门：                                       生成时间：</w:t>
      </w:r>
    </w:p>
    <w:tbl>
      <w:tblPr>
        <w:tblStyle w:val="6"/>
        <w:tblW w:w="106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014"/>
        <w:gridCol w:w="1200"/>
        <w:gridCol w:w="1214"/>
        <w:gridCol w:w="1295"/>
        <w:gridCol w:w="1247"/>
        <w:gridCol w:w="608"/>
        <w:gridCol w:w="806"/>
        <w:gridCol w:w="608"/>
        <w:gridCol w:w="606"/>
        <w:gridCol w:w="985"/>
        <w:gridCol w:w="535"/>
      </w:tblGrid>
      <w:tr w14:paraId="06E8D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  <w:tblHeader/>
          <w:jc w:val="center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B0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1A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催收欠款清单编号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4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业务事项/合同名称/合作内容/项目名称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78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债务方信息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25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业务时间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A0B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业务款项</w:t>
            </w: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7F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欠款金额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91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账龄</w:t>
            </w: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CC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拖欠原因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C23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责任人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C2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催款措施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FCA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24EFC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13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47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部门简码+合同签订年/发票开具年+2位数字自动增号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C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名称</w:t>
            </w:r>
          </w:p>
          <w:p w14:paraId="108BCD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合同编号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E94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名称：</w:t>
            </w:r>
          </w:p>
          <w:p w14:paraId="46726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地址：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联系人：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联系电话：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CAD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合同签订时间：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开票时间：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逾期开始时间：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79E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合同金额：</w:t>
            </w:r>
          </w:p>
          <w:p w14:paraId="5C61C8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已开票金额：</w:t>
            </w:r>
          </w:p>
          <w:p w14:paraId="253E3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已到款金额：</w:t>
            </w: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E0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491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3年</w:t>
            </w: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57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9E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合同经办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C4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每次措施和措施时间内容附件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B0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4D0F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BE2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1BA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2D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47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7A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D7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CF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4DE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35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F9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C7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BD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02F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F6B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37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9B1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00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78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40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BA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63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BD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6D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F0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32D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61AFE79">
      <w:pPr>
        <w:bidi w:val="0"/>
        <w:rPr>
          <w:rFonts w:hint="eastAsia"/>
          <w:lang w:val="en-US" w:eastAsia="zh-CN"/>
        </w:rPr>
      </w:pPr>
    </w:p>
    <w:p w14:paraId="7F6431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账销案全表</w:t>
      </w:r>
    </w:p>
    <w:p w14:paraId="0CAD44D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同上表</w:t>
      </w:r>
    </w:p>
    <w:p w14:paraId="039975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color="auto"/>
        </w:rPr>
        <w:cr/>
      </w:r>
    </w:p>
    <w:p w14:paraId="6A3F79FB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6410D"/>
    <w:multiLevelType w:val="singleLevel"/>
    <w:tmpl w:val="AB8641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69865F"/>
    <w:multiLevelType w:val="singleLevel"/>
    <w:tmpl w:val="BF6986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149B249"/>
    <w:multiLevelType w:val="singleLevel"/>
    <w:tmpl w:val="D149B24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3DFEE21"/>
    <w:multiLevelType w:val="singleLevel"/>
    <w:tmpl w:val="73DFEE2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C19B9"/>
    <w:rsid w:val="7939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link w:val="8"/>
    <w:uiPriority w:val="0"/>
    <w:pPr>
      <w:outlineLvl w:val="0"/>
    </w:pPr>
    <w:rPr>
      <w:b/>
      <w:sz w:val="31"/>
    </w:rPr>
  </w:style>
  <w:style w:type="paragraph" w:styleId="4">
    <w:name w:val="heading 3"/>
    <w:basedOn w:val="1"/>
    <w:link w:val="9"/>
    <w:uiPriority w:val="0"/>
    <w:pPr>
      <w:outlineLvl w:val="0"/>
    </w:pPr>
    <w:rPr>
      <w:b/>
      <w:sz w:val="31"/>
    </w:rPr>
  </w:style>
  <w:style w:type="paragraph" w:styleId="5">
    <w:name w:val="heading 4"/>
    <w:basedOn w:val="1"/>
    <w:link w:val="10"/>
    <w:qFormat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link w:val="3"/>
    <w:qFormat/>
    <w:uiPriority w:val="0"/>
    <w:rPr>
      <w:b/>
      <w:sz w:val="31"/>
    </w:rPr>
  </w:style>
  <w:style w:type="character" w:customStyle="1" w:styleId="9">
    <w:name w:val="标题 3 Char"/>
    <w:link w:val="4"/>
    <w:qFormat/>
    <w:uiPriority w:val="0"/>
    <w:rPr>
      <w:b/>
      <w:sz w:val="31"/>
    </w:rPr>
  </w:style>
  <w:style w:type="character" w:customStyle="1" w:styleId="10">
    <w:name w:val="标题 4 Char"/>
    <w:link w:val="5"/>
    <w:qFormat/>
    <w:uiPriority w:val="0"/>
    <w:rPr>
      <w:b/>
      <w:sz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</Words>
  <Characters>4</Characters>
  <Lines>0</Lines>
  <Paragraphs>0</Paragraphs>
  <TotalTime>0</TotalTime>
  <ScaleCrop>false</ScaleCrop>
  <LinksUpToDate>false</LinksUpToDate>
  <CharactersWithSpaces>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2025-11-05T02:46:00Z</dcterms:created>
  <dc:creator>zhengyihui</dc:creator>
  <cp:lastModifiedBy>涤生</cp:lastModifiedBy>
  <dcterms:modified xsi:type="dcterms:W3CDTF">2025-11-05T02:46:46Z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eyJoZGlkIjoiYmQxMjNmODY3Y2YzZjVkZjIwOGIxNjRiNTc1MmIzMzgiLCJ1c2VySWQiOiI1NDM1ODgxNzkifQ==</vt:lpwstr>
  </property>
  <property fmtid="{D5CDD505-2E9C-101B-9397-08002B2CF9AE}" pid="4" name="ICV">
    <vt:lpwstr>76E53AB0C45D4BD2B00DAD1085B94769_12</vt:lpwstr>
  </property>
</Properties>
</file>