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102"/>
            <w:vAlign w:val="center"/>
          </w:tcPr>
          <w:p>
            <w:pPr>
              <w:spacing w:after="0"/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152000" cy="32556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exu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3255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vAlign w:val="center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color w:val="808080"/>
                <w:sz w:val="18"/>
              </w:rPr>
              <w:t>매매전략 Note   |   YYYY.MM.DD</w:t>
            </w:r>
          </w:p>
        </w:tc>
      </w:tr>
    </w:tbl>
    <w:p>
      <w:pPr>
        <w:spacing w:before="0" w:after="20"/>
        <w:pBdr>
          <w:bottom w:val="single" w:sz="18" w:space="3" w:color="7A663C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3231"/>
            <w:vAlign w:val="top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sz w:val="6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3" w:space="0" w:color="C9BFA8"/>
                <w:left w:val="single" w:sz="3" w:space="0" w:color="C9BFA8"/>
                <w:bottom w:val="single" w:sz="3" w:space="0" w:color="C9BFA8"/>
                <w:right w:val="single" w:sz="3" w:space="0" w:color="C9BFA8"/>
                <w:insideH w:val="single" w:sz="3" w:space="0" w:color="C9BFA8"/>
                <w:insideV w:val="single" w:sz="3" w:space="0" w:color="C9BFA8"/>
              </w:tblBorders>
            </w:tblPr>
            <w:tblGrid>
              <w:gridCol w:w="1615"/>
              <w:gridCol w:w="1615"/>
            </w:tblGrid>
            <w:tr>
              <w:tc>
                <w:tcPr>
                  <w:tcW w:type="dxa" w:w="2892"/>
                  <w:gridSpan w:val="2"/>
                  <w:shd w:val="clear" w:color="auto" w:fill="7A663C"/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FFFFFF"/>
                      <w:sz w:val="17"/>
                    </w:rPr>
                    <w:t>투자의견</w:t>
                  </w:r>
                </w:p>
              </w:tc>
            </w:tr>
            <w:tr>
              <w:tc>
                <w:tcPr>
                  <w:tcW w:type="dxa" w:w="1446"/>
                  <w:shd w:val="clear" w:color="auto" w:fill="F5F2EA"/>
                  <w:vAlign w:val="center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333333"/>
                      <w:sz w:val="15"/>
                    </w:rPr>
                    <w:t>투자의견</w:t>
                  </w:r>
                </w:p>
              </w:tc>
              <w:tc>
                <w:tcPr>
                  <w:tcW w:type="dxa" w:w="1446"/>
                  <w:vAlign w:val="center"/>
                </w:tcPr>
                <w:p>
                  <w:pPr>
                    <w:spacing w:after="0" w:before="0" w:line="240" w:lineRule="auto"/>
                    <w:jc w:val="right"/>
                  </w:pPr>
                  <w:r/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8"/>
                    </w:rPr>
                    <w:t>BUY</w:t>
                  </w:r>
                </w:p>
              </w:tc>
            </w:tr>
            <w:tr>
              <w:tc>
                <w:tcPr>
                  <w:tcW w:type="dxa" w:w="1446"/>
                  <w:shd w:val="clear" w:color="auto" w:fill="F5F2EA"/>
                  <w:vAlign w:val="center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333333"/>
                      <w:sz w:val="15"/>
                    </w:rPr>
                    <w:t>목표주가</w:t>
                  </w:r>
                </w:p>
              </w:tc>
              <w:tc>
                <w:tcPr>
                  <w:tcW w:type="dxa" w:w="1446"/>
                  <w:vAlign w:val="center"/>
                </w:tcPr>
                <w:p>
                  <w:pPr>
                    <w:spacing w:after="0" w:before="0" w:line="240" w:lineRule="auto"/>
                    <w:jc w:val="right"/>
                  </w:pPr>
                  <w:r/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8"/>
                    </w:rPr>
                    <w:t>00,000원</w:t>
                  </w:r>
                </w:p>
              </w:tc>
            </w:tr>
            <w:tr>
              <w:tc>
                <w:tcPr>
                  <w:tcW w:type="dxa" w:w="1446"/>
                  <w:shd w:val="clear" w:color="auto" w:fill="F5F2EA"/>
                  <w:vAlign w:val="center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333333"/>
                      <w:sz w:val="15"/>
                    </w:rPr>
                    <w:t>현재주가</w:t>
                  </w:r>
                </w:p>
              </w:tc>
              <w:tc>
                <w:tcPr>
                  <w:tcW w:type="dxa" w:w="1446"/>
                  <w:vAlign w:val="center"/>
                </w:tcPr>
                <w:p>
                  <w:pPr>
                    <w:spacing w:after="0" w:before="0" w:line="240" w:lineRule="auto"/>
                    <w:jc w:val="right"/>
                  </w:pPr>
                  <w:r/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8"/>
                    </w:rPr>
                    <w:t>00,000원</w:t>
                  </w:r>
                </w:p>
              </w:tc>
            </w:tr>
            <w:tr>
              <w:tc>
                <w:tcPr>
                  <w:tcW w:type="dxa" w:w="1446"/>
                  <w:shd w:val="clear" w:color="auto" w:fill="F5F2EA"/>
                  <w:vAlign w:val="center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333333"/>
                      <w:sz w:val="15"/>
                    </w:rPr>
                    <w:t>상승여력</w:t>
                  </w:r>
                </w:p>
              </w:tc>
              <w:tc>
                <w:tcPr>
                  <w:tcW w:type="dxa" w:w="1446"/>
                  <w:vAlign w:val="center"/>
                </w:tcPr>
                <w:p>
                  <w:pPr>
                    <w:spacing w:after="0" w:before="0" w:line="240" w:lineRule="auto"/>
                    <w:jc w:val="right"/>
                  </w:pPr>
                  <w:r/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8"/>
                    </w:rPr>
                    <w:t>+0.0%</w:t>
                  </w:r>
                </w:p>
              </w:tc>
            </w:tr>
          </w:tbl>
          <w:p/>
          <w:p>
            <w:pPr>
              <w:spacing w:after="40" w:before="0"/>
            </w:pPr>
            <w:r>
              <w:rPr>
                <w:rFonts w:ascii="맑은 고딕" w:hAnsi="맑은 고딕" w:eastAsia="맑은 고딕" w:cs="맑은 고딕"/>
                <w:sz w:val="6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3" w:space="0" w:color="C9BFA8"/>
                <w:left w:val="single" w:sz="3" w:space="0" w:color="C9BFA8"/>
                <w:bottom w:val="single" w:sz="3" w:space="0" w:color="C9BFA8"/>
                <w:right w:val="single" w:sz="3" w:space="0" w:color="C9BFA8"/>
                <w:insideH w:val="single" w:sz="3" w:space="0" w:color="C9BFA8"/>
                <w:insideV w:val="single" w:sz="3" w:space="0" w:color="C9BFA8"/>
              </w:tblBorders>
            </w:tblPr>
            <w:tblGrid>
              <w:gridCol w:w="1615"/>
              <w:gridCol w:w="1615"/>
            </w:tblGrid>
            <w:tr>
              <w:tc>
                <w:tcPr>
                  <w:tcW w:type="dxa" w:w="2892"/>
                  <w:gridSpan w:val="2"/>
                  <w:shd w:val="clear" w:color="auto" w:fill="7A663C"/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FFFFFF"/>
                      <w:sz w:val="17"/>
                    </w:rPr>
                    <w:t>Stock Data</w:t>
                  </w:r>
                </w:p>
              </w:tc>
            </w:tr>
            <w:tr>
              <w:tc>
                <w:tcPr>
                  <w:tcW w:type="dxa" w:w="1446"/>
                  <w:shd w:val="clear" w:color="auto" w:fill="F5F2EA"/>
                  <w:vAlign w:val="center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333333"/>
                      <w:sz w:val="15"/>
                    </w:rPr>
                    <w:t>시가총액</w:t>
                  </w:r>
                </w:p>
              </w:tc>
              <w:tc>
                <w:tcPr>
                  <w:tcW w:type="dxa" w:w="1446"/>
                  <w:vAlign w:val="center"/>
                </w:tcPr>
                <w:p>
                  <w:pPr>
                    <w:spacing w:after="0" w:before="0" w:line="240" w:lineRule="auto"/>
                    <w:jc w:val="right"/>
                  </w:pPr>
                  <w:r/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6"/>
                    </w:rPr>
                    <w:t>–</w:t>
                  </w:r>
                </w:p>
              </w:tc>
            </w:tr>
            <w:tr>
              <w:tc>
                <w:tcPr>
                  <w:tcW w:type="dxa" w:w="1446"/>
                  <w:shd w:val="clear" w:color="auto" w:fill="F5F2EA"/>
                  <w:vAlign w:val="center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333333"/>
                      <w:sz w:val="15"/>
                    </w:rPr>
                    <w:t>발행주식수</w:t>
                  </w:r>
                </w:p>
              </w:tc>
              <w:tc>
                <w:tcPr>
                  <w:tcW w:type="dxa" w:w="1446"/>
                  <w:vAlign w:val="center"/>
                </w:tcPr>
                <w:p>
                  <w:pPr>
                    <w:spacing w:after="0" w:before="0" w:line="240" w:lineRule="auto"/>
                    <w:jc w:val="right"/>
                  </w:pPr>
                  <w:r/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6"/>
                    </w:rPr>
                    <w:t>–</w:t>
                  </w:r>
                </w:p>
              </w:tc>
            </w:tr>
            <w:tr>
              <w:tc>
                <w:tcPr>
                  <w:tcW w:type="dxa" w:w="1446"/>
                  <w:shd w:val="clear" w:color="auto" w:fill="F5F2EA"/>
                  <w:vAlign w:val="center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333333"/>
                      <w:sz w:val="15"/>
                    </w:rPr>
                    <w:t>52주 최고</w:t>
                  </w:r>
                </w:p>
              </w:tc>
              <w:tc>
                <w:tcPr>
                  <w:tcW w:type="dxa" w:w="1446"/>
                  <w:vAlign w:val="center"/>
                </w:tcPr>
                <w:p>
                  <w:pPr>
                    <w:spacing w:after="0" w:before="0" w:line="240" w:lineRule="auto"/>
                    <w:jc w:val="right"/>
                  </w:pPr>
                  <w:r/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6"/>
                    </w:rPr>
                    <w:t>–</w:t>
                  </w:r>
                </w:p>
              </w:tc>
            </w:tr>
            <w:tr>
              <w:tc>
                <w:tcPr>
                  <w:tcW w:type="dxa" w:w="1446"/>
                  <w:shd w:val="clear" w:color="auto" w:fill="F5F2EA"/>
                  <w:vAlign w:val="center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333333"/>
                      <w:sz w:val="15"/>
                    </w:rPr>
                    <w:t>52주 최저</w:t>
                  </w:r>
                </w:p>
              </w:tc>
              <w:tc>
                <w:tcPr>
                  <w:tcW w:type="dxa" w:w="1446"/>
                  <w:vAlign w:val="center"/>
                </w:tcPr>
                <w:p>
                  <w:pPr>
                    <w:spacing w:after="0" w:before="0" w:line="240" w:lineRule="auto"/>
                    <w:jc w:val="right"/>
                  </w:pPr>
                  <w:r/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6"/>
                    </w:rPr>
                    <w:t>–</w:t>
                  </w:r>
                </w:p>
              </w:tc>
            </w:tr>
            <w:tr>
              <w:tc>
                <w:tcPr>
                  <w:tcW w:type="dxa" w:w="1446"/>
                  <w:shd w:val="clear" w:color="auto" w:fill="F5F2EA"/>
                  <w:vAlign w:val="center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333333"/>
                      <w:sz w:val="15"/>
                    </w:rPr>
                    <w:t>외국인지분</w:t>
                  </w:r>
                </w:p>
              </w:tc>
              <w:tc>
                <w:tcPr>
                  <w:tcW w:type="dxa" w:w="1446"/>
                  <w:vAlign w:val="center"/>
                </w:tcPr>
                <w:p>
                  <w:pPr>
                    <w:spacing w:after="0" w:before="0" w:line="240" w:lineRule="auto"/>
                    <w:jc w:val="right"/>
                  </w:pPr>
                  <w:r/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6"/>
                    </w:rPr>
                    <w:t>–</w:t>
                  </w:r>
                </w:p>
              </w:tc>
            </w:tr>
            <w:tr>
              <w:tc>
                <w:tcPr>
                  <w:tcW w:type="dxa" w:w="1446"/>
                  <w:shd w:val="clear" w:color="auto" w:fill="F5F2EA"/>
                  <w:vAlign w:val="center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333333"/>
                      <w:sz w:val="15"/>
                    </w:rPr>
                    <w:t>60일 거래대금</w:t>
                  </w:r>
                </w:p>
              </w:tc>
              <w:tc>
                <w:tcPr>
                  <w:tcW w:type="dxa" w:w="1446"/>
                  <w:vAlign w:val="center"/>
                </w:tcPr>
                <w:p>
                  <w:pPr>
                    <w:spacing w:after="0" w:before="0" w:line="240" w:lineRule="auto"/>
                    <w:jc w:val="right"/>
                  </w:pPr>
                  <w:r/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6"/>
                    </w:rPr>
                    <w:t>–</w:t>
                  </w:r>
                </w:p>
              </w:tc>
            </w:tr>
            <w:tr>
              <w:tc>
                <w:tcPr>
                  <w:tcW w:type="dxa" w:w="1446"/>
                  <w:shd w:val="clear" w:color="auto" w:fill="F5F2EA"/>
                  <w:vAlign w:val="center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333333"/>
                      <w:sz w:val="15"/>
                    </w:rPr>
                    <w:t>PER(12M Fwd)</w:t>
                  </w:r>
                </w:p>
              </w:tc>
              <w:tc>
                <w:tcPr>
                  <w:tcW w:type="dxa" w:w="1446"/>
                  <w:vAlign w:val="center"/>
                </w:tcPr>
                <w:p>
                  <w:pPr>
                    <w:spacing w:after="0" w:before="0" w:line="240" w:lineRule="auto"/>
                    <w:jc w:val="right"/>
                  </w:pPr>
                  <w:r/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6"/>
                    </w:rPr>
                    <w:t>–</w:t>
                  </w:r>
                </w:p>
              </w:tc>
            </w:tr>
            <w:tr>
              <w:tc>
                <w:tcPr>
                  <w:tcW w:type="dxa" w:w="1446"/>
                  <w:shd w:val="clear" w:color="auto" w:fill="F5F2EA"/>
                  <w:vAlign w:val="center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333333"/>
                      <w:sz w:val="15"/>
                    </w:rPr>
                    <w:t>PBR</w:t>
                  </w:r>
                </w:p>
              </w:tc>
              <w:tc>
                <w:tcPr>
                  <w:tcW w:type="dxa" w:w="1446"/>
                  <w:vAlign w:val="center"/>
                </w:tcPr>
                <w:p>
                  <w:pPr>
                    <w:spacing w:after="0" w:before="0" w:line="240" w:lineRule="auto"/>
                    <w:jc w:val="right"/>
                  </w:pPr>
                  <w:r/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sz w:val="16"/>
                    </w:rPr>
                    <w:t>–</w:t>
                  </w:r>
                </w:p>
              </w:tc>
            </w:tr>
          </w:tbl>
          <w:p/>
          <w:p>
            <w:pPr>
              <w:spacing w:after="40" w:before="0"/>
            </w:pPr>
            <w:r>
              <w:rPr>
                <w:rFonts w:ascii="맑은 고딕" w:hAnsi="맑은 고딕" w:eastAsia="맑은 고딕" w:cs="맑은 고딕"/>
                <w:sz w:val="6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3" w:space="0" w:color="C9BFA8"/>
                <w:left w:val="single" w:sz="3" w:space="0" w:color="C9BFA8"/>
                <w:bottom w:val="single" w:sz="3" w:space="0" w:color="C9BFA8"/>
                <w:right w:val="single" w:sz="3" w:space="0" w:color="C9BFA8"/>
                <w:insideH w:val="single" w:sz="3" w:space="0" w:color="C9BFA8"/>
                <w:insideV w:val="single" w:sz="3" w:space="0" w:color="C9BFA8"/>
              </w:tblBorders>
            </w:tblPr>
            <w:tblGrid>
              <w:gridCol w:w="646"/>
              <w:gridCol w:w="646"/>
              <w:gridCol w:w="646"/>
              <w:gridCol w:w="646"/>
              <w:gridCol w:w="646"/>
            </w:tblGrid>
            <w:tr>
              <w:tc>
                <w:tcPr>
                  <w:tcW w:type="dxa" w:w="3119"/>
                  <w:gridSpan w:val="5"/>
                  <w:shd w:val="clear" w:color="auto" w:fill="7A663C"/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FFFFFF"/>
                      <w:sz w:val="16"/>
                    </w:rPr>
                    <w:t>상대수익률 (KOSPI 대비, %p)</w:t>
                  </w:r>
                </w:p>
              </w:tc>
            </w:tr>
            <w:tr>
              <w:tc>
                <w:tcPr>
                  <w:tcW w:type="dxa" w:w="794"/>
                  <w:shd w:val="clear" w:color="auto" w:fill="F5F2EA"/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333333"/>
                      <w:sz w:val="15"/>
                    </w:rPr>
                  </w:r>
                </w:p>
              </w:tc>
              <w:tc>
                <w:tcPr>
                  <w:tcW w:type="dxa" w:w="567"/>
                  <w:shd w:val="clear" w:color="auto" w:fill="FFFFFF"/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333333"/>
                      <w:sz w:val="15"/>
                    </w:rPr>
                    <w:t>1M</w:t>
                  </w:r>
                </w:p>
              </w:tc>
              <w:tc>
                <w:tcPr>
                  <w:tcW w:type="dxa" w:w="567"/>
                  <w:shd w:val="clear" w:color="auto" w:fill="FFFFFF"/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333333"/>
                      <w:sz w:val="15"/>
                    </w:rPr>
                    <w:t>3M</w:t>
                  </w:r>
                </w:p>
              </w:tc>
              <w:tc>
                <w:tcPr>
                  <w:tcW w:type="dxa" w:w="567"/>
                  <w:shd w:val="clear" w:color="auto" w:fill="FFFFFF"/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333333"/>
                      <w:sz w:val="15"/>
                    </w:rPr>
                    <w:t>6M</w:t>
                  </w:r>
                </w:p>
              </w:tc>
              <w:tc>
                <w:tcPr>
                  <w:tcW w:type="dxa" w:w="624"/>
                  <w:shd w:val="clear" w:color="auto" w:fill="FFFFFF"/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333333"/>
                      <w:sz w:val="15"/>
                    </w:rPr>
                    <w:t>12M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3" w:space="0" w:color="C9BFA8"/>
                <w:left w:val="single" w:sz="3" w:space="0" w:color="C9BFA8"/>
                <w:bottom w:val="single" w:sz="3" w:space="0" w:color="C9BFA8"/>
                <w:right w:val="single" w:sz="3" w:space="0" w:color="C9BFA8"/>
                <w:insideH w:val="single" w:sz="3" w:space="0" w:color="C9BFA8"/>
                <w:insideV w:val="single" w:sz="3" w:space="0" w:color="C9BFA8"/>
              </w:tblBorders>
            </w:tblPr>
            <w:tblGrid>
              <w:gridCol w:w="646"/>
              <w:gridCol w:w="646"/>
              <w:gridCol w:w="646"/>
              <w:gridCol w:w="646"/>
              <w:gridCol w:w="646"/>
            </w:tblGrid>
            <w:tr>
              <w:tc>
                <w:tcPr>
                  <w:tcW w:type="dxa" w:w="794"/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333333"/>
                      <w:sz w:val="15"/>
                    </w:rPr>
                    <w:t>초과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color w:val="000000"/>
                      <w:sz w:val="15"/>
                    </w:rPr>
                    <w:t>–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color w:val="000000"/>
                      <w:sz w:val="15"/>
                    </w:rPr>
                    <w:t>–</w:t>
                  </w:r>
                </w:p>
              </w:tc>
              <w:tc>
                <w:tcPr>
                  <w:tcW w:type="dxa" w:w="567"/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color w:val="000000"/>
                      <w:sz w:val="15"/>
                    </w:rPr>
                    <w:t>–</w:t>
                  </w:r>
                </w:p>
              </w:tc>
              <w:tc>
                <w:tcPr>
                  <w:tcW w:type="dxa" w:w="624"/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color w:val="000000"/>
                      <w:sz w:val="15"/>
                    </w:rPr>
                    <w:t>–</w:t>
                  </w:r>
                </w:p>
              </w:tc>
            </w:tr>
          </w:tbl>
          <w:p/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sz w:val="6"/>
              </w:rPr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3" w:space="0" w:color="C9BFA8"/>
                <w:left w:val="single" w:sz="3" w:space="0" w:color="C9BFA8"/>
                <w:bottom w:val="single" w:sz="3" w:space="0" w:color="C9BFA8"/>
                <w:right w:val="single" w:sz="3" w:space="0" w:color="C9BFA8"/>
                <w:insideH w:val="single" w:sz="3" w:space="0" w:color="C9BFA8"/>
                <w:insideV w:val="single" w:sz="3" w:space="0" w:color="C9BFA8"/>
              </w:tblBorders>
            </w:tblPr>
            <w:tblGrid>
              <w:gridCol w:w="3231"/>
            </w:tblGrid>
            <w:tr>
              <w:tc>
                <w:tcPr>
                  <w:tcW w:type="dxa" w:w="2891"/>
                  <w:shd w:val="clear" w:color="auto" w:fill="7A663C"/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FFFFFF"/>
                      <w:sz w:val="17"/>
                    </w:rPr>
                    <w:t>주가 추이 (12M)</w:t>
                  </w:r>
                </w:p>
              </w:tc>
            </w:tr>
            <w:tr>
              <w:trPr>
                <w:trHeight w:val="680" w:hRule="atLeast"/>
              </w:trPr>
              <w:tc>
                <w:tcPr>
                  <w:tcW w:type="dxa" w:w="2891"/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 w:cs="맑은 고딕"/>
                      <w:b w:val="0"/>
                      <w:i w:val="0"/>
                      <w:color w:val="808080"/>
                      <w:sz w:val="16"/>
                    </w:rPr>
                    <w:t>[ 주가/상대강도 차트 삽입 ]</w:t>
                  </w:r>
                </w:p>
              </w:tc>
            </w:tr>
          </w:tbl>
          <w:p/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sz w:val="6"/>
              </w:rPr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808080"/>
                <w:sz w:val="15"/>
              </w:rPr>
              <w:t>Reported by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/>
                <w:color w:val="7A663C"/>
                <w:sz w:val="17"/>
              </w:rPr>
              <w:t>○○○  (PM / Buy-side)</w:t>
            </w:r>
          </w:p>
          <w:p>
            <w:pPr>
              <w:spacing w:before="0" w:after="0"/>
            </w:pPr>
            <w:r>
              <w:rPr>
                <w:rFonts w:ascii="맑은 고딕" w:hAnsi="맑은 고딕" w:eastAsia="맑은 고딕" w:cs="맑은 고딕"/>
                <w:b w:val="0"/>
                <w:color w:val="808080"/>
                <w:sz w:val="15"/>
              </w:rPr>
              <w:t>○○○@nexusasset.co.kr</w:t>
            </w:r>
          </w:p>
        </w:tc>
        <w:tc>
          <w:tcPr>
            <w:tcW w:type="dxa" w:w="6860"/>
            <w:vAlign w:val="top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color w:val="7A663C"/>
                <w:sz w:val="34"/>
              </w:rPr>
              <w:t xml:space="preserve">종목명 </w:t>
            </w:r>
            <w:r>
              <w:rPr>
                <w:rFonts w:ascii="맑은 고딕" w:hAnsi="맑은 고딕" w:eastAsia="맑은 고딕" w:cs="맑은 고딕"/>
                <w:b/>
                <w:color w:val="333333"/>
                <w:sz w:val="24"/>
              </w:rPr>
              <w:t>(000000)</w:t>
            </w:r>
          </w:p>
          <w:p>
            <w:pPr>
              <w:spacing w:before="0" w:after="80"/>
            </w:pPr>
            <w:r>
              <w:rPr>
                <w:rFonts w:ascii="맑은 고딕" w:hAnsi="맑은 고딕" w:eastAsia="맑은 고딕" w:cs="맑은 고딕"/>
                <w:color w:val="808080"/>
                <w:sz w:val="17"/>
              </w:rPr>
              <w:t>시장 · 섹터</w:t>
            </w:r>
          </w:p>
          <w:p>
            <w:pPr>
              <w:spacing w:after="8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6"/>
              </w:rPr>
              <w:t>[ 핵심 투자 논지를 한 줄 헤드라인으로 ]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 w:cs="맑은 고딕"/>
                <w:b/>
                <w:color w:val="7A663C"/>
                <w:sz w:val="20"/>
              </w:rPr>
              <w:t>▌ 매매전략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4" w:space="0" w:color="C9BFA8"/>
                <w:left w:val="single" w:sz="4" w:space="0" w:color="C9BFA8"/>
                <w:bottom w:val="single" w:sz="4" w:space="0" w:color="C9BFA8"/>
                <w:right w:val="single" w:sz="4" w:space="0" w:color="C9BFA8"/>
                <w:insideH w:val="single" w:sz="4" w:space="0" w:color="C9BFA8"/>
                <w:insideV w:val="single" w:sz="4" w:space="0" w:color="C9BFA8"/>
              </w:tblBorders>
            </w:tblPr>
            <w:tblGrid>
              <w:gridCol w:w="1715"/>
              <w:gridCol w:w="1715"/>
              <w:gridCol w:w="1715"/>
              <w:gridCol w:w="1715"/>
            </w:tblGrid>
            <w:tr>
              <w:tc>
                <w:tcPr>
                  <w:tcW w:type="dxa" w:w="1531"/>
                  <w:shd w:val="clear" w:color="auto" w:fill="F1EBDD"/>
                  <w:vAlign w:val="center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7A663C"/>
                      <w:sz w:val="17"/>
                    </w:rPr>
                    <w:t>전략 유형</w:t>
                  </w:r>
                </w:p>
              </w:tc>
              <w:tc>
                <w:tcPr>
                  <w:tcW w:type="dxa" w:w="1899"/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sz w:val="18"/>
                    </w:rPr>
                    <w:t>[전략유형]</w:t>
                  </w:r>
                </w:p>
              </w:tc>
              <w:tc>
                <w:tcPr>
                  <w:tcW w:type="dxa" w:w="1531"/>
                  <w:shd w:val="clear" w:color="auto" w:fill="F1EBDD"/>
                  <w:vAlign w:val="center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7A663C"/>
                      <w:sz w:val="17"/>
                    </w:rPr>
                    <w:t>투자기간</w:t>
                  </w:r>
                </w:p>
              </w:tc>
              <w:tc>
                <w:tcPr>
                  <w:tcW w:type="dxa" w:w="1899"/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sz w:val="18"/>
                    </w:rPr>
                    <w:t>[ ]개월</w:t>
                  </w:r>
                </w:p>
              </w:tc>
            </w:tr>
            <w:tr>
              <w:tc>
                <w:tcPr>
                  <w:tcW w:type="dxa" w:w="1531"/>
                  <w:shd w:val="clear" w:color="auto" w:fill="F1EBDD"/>
                  <w:vAlign w:val="center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7A663C"/>
                      <w:sz w:val="17"/>
                    </w:rPr>
                    <w:t>매수 밴드</w:t>
                  </w:r>
                </w:p>
              </w:tc>
              <w:tc>
                <w:tcPr>
                  <w:tcW w:type="dxa" w:w="1899"/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sz w:val="18"/>
                    </w:rPr>
                    <w:t>00,000 ~ 00,000원</w:t>
                  </w:r>
                </w:p>
              </w:tc>
              <w:tc>
                <w:tcPr>
                  <w:tcW w:type="dxa" w:w="1531"/>
                  <w:shd w:val="clear" w:color="auto" w:fill="F1EBDD"/>
                  <w:vAlign w:val="center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7A663C"/>
                      <w:sz w:val="17"/>
                    </w:rPr>
                    <w:t>손절가(Stop)</w:t>
                  </w:r>
                </w:p>
              </w:tc>
              <w:tc>
                <w:tcPr>
                  <w:tcW w:type="dxa" w:w="1899"/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sz w:val="18"/>
                    </w:rPr>
                    <w:t>00,000원 (-0%)</w:t>
                  </w:r>
                </w:p>
              </w:tc>
            </w:tr>
            <w:tr>
              <w:tc>
                <w:tcPr>
                  <w:tcW w:type="dxa" w:w="1531"/>
                  <w:shd w:val="clear" w:color="auto" w:fill="F1EBDD"/>
                  <w:vAlign w:val="center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7A663C"/>
                      <w:sz w:val="17"/>
                    </w:rPr>
                    <w:t>1차 목표</w:t>
                  </w:r>
                </w:p>
              </w:tc>
              <w:tc>
                <w:tcPr>
                  <w:tcW w:type="dxa" w:w="1899"/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sz w:val="18"/>
                    </w:rPr>
                    <w:t>00,000원 (+0%)</w:t>
                  </w:r>
                </w:p>
              </w:tc>
              <w:tc>
                <w:tcPr>
                  <w:tcW w:type="dxa" w:w="1531"/>
                  <w:shd w:val="clear" w:color="auto" w:fill="F1EBDD"/>
                  <w:vAlign w:val="center"/>
                </w:tcPr>
                <w:p>
                  <w:pPr>
                    <w:spacing w:after="0" w:before="0" w:line="240" w:lineRule="auto"/>
                    <w:jc w:val="left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color w:val="7A663C"/>
                      <w:sz w:val="17"/>
                    </w:rPr>
                    <w:t>2차 목표</w:t>
                  </w:r>
                </w:p>
              </w:tc>
              <w:tc>
                <w:tcPr>
                  <w:tcW w:type="dxa" w:w="1899"/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/>
                  <w:r>
                    <w:rPr>
                      <w:rFonts w:ascii="맑은 고딕" w:hAnsi="맑은 고딕" w:eastAsia="맑은 고딕" w:cs="맑은 고딕"/>
                      <w:b/>
                      <w:i w:val="0"/>
                      <w:sz w:val="18"/>
                    </w:rPr>
                    <w:t>00,000원 (+0%)</w:t>
                  </w:r>
                </w:p>
              </w:tc>
            </w:tr>
          </w:tbl>
          <w:p/>
          <w:p>
            <w:pPr>
              <w:spacing w:before="160" w:after="40"/>
            </w:pPr>
            <w:r>
              <w:rPr>
                <w:rFonts w:ascii="맑은 고딕" w:hAnsi="맑은 고딕" w:eastAsia="맑은 고딕" w:cs="맑은 고딕"/>
                <w:b/>
                <w:color w:val="7A663C"/>
                <w:sz w:val="20"/>
              </w:rPr>
              <w:t>▌ 핵심결론</w:t>
            </w:r>
          </w:p>
          <w:p>
            <w:pPr>
              <w:spacing w:after="80" w:line="264" w:lineRule="auto"/>
            </w:pPr>
            <w:r>
              <w:rPr>
                <w:rFonts w:ascii="맑은 고딕" w:hAnsi="맑은 고딕" w:eastAsia="맑은 고딕" w:cs="맑은 고딕"/>
                <w:sz w:val="19"/>
              </w:rPr>
              <w:t>[ 3~4문장으로 매수 콜 결론 압축: 왜 지금 사는가 / 무엇을 기대하는가 / 핵심 트리거 / 어느 가격대에 어떤 비중으로 진입·청산하는가. 개조식(~함/~임)으로 작성. ]</w:t>
            </w:r>
          </w:p>
          <w:p>
            <w:pPr>
              <w:spacing w:before="120" w:after="40"/>
            </w:pPr>
            <w:r>
              <w:rPr>
                <w:rFonts w:ascii="맑은 고딕" w:hAnsi="맑은 고딕" w:eastAsia="맑은 고딕" w:cs="맑은 고딕"/>
                <w:b/>
                <w:color w:val="7A663C"/>
                <w:sz w:val="20"/>
              </w:rPr>
              <w:t>▌ 투자포인트</w:t>
            </w:r>
          </w:p>
          <w:p>
            <w:pPr>
              <w:spacing w:after="40" w:line="264" w:lineRule="auto"/>
            </w:pPr>
            <w:r>
              <w:rPr>
                <w:rFonts w:ascii="맑은 고딕" w:hAnsi="맑은 고딕" w:eastAsia="맑은 고딕" w:cs="맑은 고딕"/>
                <w:b/>
                <w:color w:val="9D844E"/>
                <w:sz w:val="18"/>
              </w:rPr>
              <w:t xml:space="preserve">① </w:t>
            </w:r>
            <w:r>
              <w:rPr>
                <w:rFonts w:ascii="맑은 고딕" w:hAnsi="맑은 고딕" w:eastAsia="맑은 고딕" w:cs="맑은 고딕"/>
                <w:sz w:val="18"/>
              </w:rPr>
              <w:t>[ 투자포인트 1 — 정량 근거 포함 ]</w:t>
            </w:r>
          </w:p>
          <w:p>
            <w:pPr>
              <w:spacing w:after="40" w:line="264" w:lineRule="auto"/>
            </w:pPr>
            <w:r>
              <w:rPr>
                <w:rFonts w:ascii="맑은 고딕" w:hAnsi="맑은 고딕" w:eastAsia="맑은 고딕" w:cs="맑은 고딕"/>
                <w:b/>
                <w:color w:val="9D844E"/>
                <w:sz w:val="18"/>
              </w:rPr>
              <w:t xml:space="preserve">② </w:t>
            </w:r>
            <w:r>
              <w:rPr>
                <w:rFonts w:ascii="맑은 고딕" w:hAnsi="맑은 고딕" w:eastAsia="맑은 고딕" w:cs="맑은 고딕"/>
                <w:sz w:val="18"/>
              </w:rPr>
              <w:t>[ 투자포인트 2 ]</w:t>
            </w:r>
          </w:p>
          <w:p>
            <w:pPr>
              <w:spacing w:after="40" w:line="264" w:lineRule="auto"/>
            </w:pPr>
            <w:r>
              <w:rPr>
                <w:rFonts w:ascii="맑은 고딕" w:hAnsi="맑은 고딕" w:eastAsia="맑은 고딕" w:cs="맑은 고딕"/>
                <w:b/>
                <w:color w:val="9D844E"/>
                <w:sz w:val="18"/>
              </w:rPr>
              <w:t xml:space="preserve">③ </w:t>
            </w:r>
            <w:r>
              <w:rPr>
                <w:rFonts w:ascii="맑은 고딕" w:hAnsi="맑은 고딕" w:eastAsia="맑은 고딕" w:cs="맑은 고딕"/>
                <w:sz w:val="18"/>
              </w:rPr>
              <w:t>[ 투자포인트 3 ]</w:t>
            </w:r>
          </w:p>
        </w:tc>
      </w:tr>
    </w:tbl>
    <w:p>
      <w:pPr>
        <w:spacing w:before="40" w:after="80"/>
        <w:pBdr>
          <w:bottom w:val="single" w:sz="14" w:space="3" w:color="9D844E"/>
        </w:pBdr>
      </w:pPr>
      <w:r>
        <w:rPr>
          <w:rFonts w:ascii="맑은 고딕" w:hAnsi="맑은 고딕" w:eastAsia="맑은 고딕" w:cs="맑은 고딕"/>
          <w:b/>
          <w:color w:val="7A663C"/>
          <w:sz w:val="22"/>
        </w:rPr>
        <w:t>Forecasts &amp; Valuations  (단위: 억원, 원, %, 배 / E는 컨센서스)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268"/>
            <w:shd w:val="clear" w:color="auto" w:fill="7A663C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</w:r>
          </w:p>
        </w:tc>
        <w:tc>
          <w:tcPr>
            <w:tcW w:type="dxa" w:w="1956"/>
            <w:shd w:val="clear" w:color="auto" w:fill="7A663C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20__</w:t>
            </w:r>
          </w:p>
        </w:tc>
        <w:tc>
          <w:tcPr>
            <w:tcW w:type="dxa" w:w="1956"/>
            <w:shd w:val="clear" w:color="auto" w:fill="7A663C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20__</w:t>
            </w:r>
          </w:p>
        </w:tc>
        <w:tc>
          <w:tcPr>
            <w:tcW w:type="dxa" w:w="1956"/>
            <w:shd w:val="clear" w:color="auto" w:fill="7A663C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20__</w:t>
            </w:r>
          </w:p>
        </w:tc>
        <w:tc>
          <w:tcPr>
            <w:tcW w:type="dxa" w:w="1956"/>
            <w:shd w:val="clear" w:color="auto" w:fill="7A663C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6"/>
              </w:rPr>
              <w:t>20__E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6"/>
              </w:rPr>
              <w:t>매출액</w:t>
            </w:r>
          </w:p>
        </w:tc>
        <w:tc>
          <w:tcPr>
            <w:tcW w:type="dxa" w:w="195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95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95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95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2268"/>
            <w:vAlign w:val="center"/>
            <w:shd w:val="clear" w:color="auto" w:fill="F5F2E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6"/>
              </w:rPr>
              <w:t>영업이익</w:t>
            </w:r>
          </w:p>
        </w:tc>
        <w:tc>
          <w:tcPr>
            <w:tcW w:type="dxa" w:w="1956"/>
            <w:vAlign w:val="center"/>
            <w:shd w:val="clear" w:color="auto" w:fill="F5F2E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956"/>
            <w:vAlign w:val="center"/>
            <w:shd w:val="clear" w:color="auto" w:fill="F5F2E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956"/>
            <w:vAlign w:val="center"/>
            <w:shd w:val="clear" w:color="auto" w:fill="F5F2E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956"/>
            <w:vAlign w:val="center"/>
            <w:shd w:val="clear" w:color="auto" w:fill="F5F2E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6"/>
              </w:rPr>
              <w:t>순이익</w:t>
            </w:r>
          </w:p>
        </w:tc>
        <w:tc>
          <w:tcPr>
            <w:tcW w:type="dxa" w:w="195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95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95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95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2268"/>
            <w:vAlign w:val="center"/>
            <w:shd w:val="clear" w:color="auto" w:fill="F5F2E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6"/>
              </w:rPr>
              <w:t>EPS(원)</w:t>
            </w:r>
          </w:p>
        </w:tc>
        <w:tc>
          <w:tcPr>
            <w:tcW w:type="dxa" w:w="1956"/>
            <w:vAlign w:val="center"/>
            <w:shd w:val="clear" w:color="auto" w:fill="F5F2E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956"/>
            <w:vAlign w:val="center"/>
            <w:shd w:val="clear" w:color="auto" w:fill="F5F2E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956"/>
            <w:vAlign w:val="center"/>
            <w:shd w:val="clear" w:color="auto" w:fill="F5F2E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956"/>
            <w:vAlign w:val="center"/>
            <w:shd w:val="clear" w:color="auto" w:fill="F5F2E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6"/>
              </w:rPr>
              <w:t>ROE(%)</w:t>
            </w:r>
          </w:p>
        </w:tc>
        <w:tc>
          <w:tcPr>
            <w:tcW w:type="dxa" w:w="195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95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95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956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</w:tr>
      <w:tr>
        <w:tc>
          <w:tcPr>
            <w:tcW w:type="dxa" w:w="2268"/>
            <w:vAlign w:val="center"/>
            <w:shd w:val="clear" w:color="auto" w:fill="F5F2E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6"/>
              </w:rPr>
              <w:t>PBR(배)</w:t>
            </w:r>
          </w:p>
        </w:tc>
        <w:tc>
          <w:tcPr>
            <w:tcW w:type="dxa" w:w="1956"/>
            <w:vAlign w:val="center"/>
            <w:shd w:val="clear" w:color="auto" w:fill="F5F2E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956"/>
            <w:vAlign w:val="center"/>
            <w:shd w:val="clear" w:color="auto" w:fill="F5F2E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956"/>
            <w:vAlign w:val="center"/>
            <w:shd w:val="clear" w:color="auto" w:fill="F5F2E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  <w:tc>
          <w:tcPr>
            <w:tcW w:type="dxa" w:w="1956"/>
            <w:vAlign w:val="center"/>
            <w:shd w:val="clear" w:color="auto" w:fill="F5F2E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6"/>
              </w:rPr>
              <w:t>–</w:t>
            </w:r>
          </w:p>
        </w:tc>
      </w:tr>
    </w:tbl>
    <w:p>
      <w:pPr>
        <w:pageBreakBefore/>
        <w:spacing w:before="0" w:after="80"/>
        <w:pBdr>
          <w:bottom w:val="single" w:sz="14" w:space="3" w:color="9D844E"/>
        </w:pBdr>
      </w:pPr>
      <w:r>
        <w:rPr>
          <w:rFonts w:ascii="맑은 고딕" w:hAnsi="맑은 고딕" w:eastAsia="맑은 고딕" w:cs="맑은 고딕"/>
          <w:b/>
          <w:color w:val="9D844E"/>
          <w:sz w:val="26"/>
        </w:rPr>
        <w:t xml:space="preserve">1   </w:t>
      </w:r>
      <w:r>
        <w:rPr>
          <w:rFonts w:ascii="맑은 고딕" w:hAnsi="맑은 고딕" w:eastAsia="맑은 고딕" w:cs="맑은 고딕"/>
          <w:b/>
          <w:color w:val="7A663C"/>
          <w:sz w:val="24"/>
        </w:rPr>
        <w:t>기업 개요</w:t>
      </w:r>
      <w:r>
        <w:rPr>
          <w:rFonts w:ascii="맑은 고딕" w:hAnsi="맑은 고딕" w:eastAsia="맑은 고딕" w:cs="맑은 고딕"/>
          <w:b w:val="0"/>
          <w:color w:val="808080"/>
          <w:sz w:val="18"/>
        </w:rPr>
        <w:t xml:space="preserve">   (Company Snapshot)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1814"/>
            <w:shd w:val="clear" w:color="auto" w:fill="F5F2EA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333333"/>
                <w:sz w:val="18"/>
              </w:rPr>
              <w:t>사업 영역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814"/>
            <w:shd w:val="clear" w:color="auto" w:fill="F5F2EA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333333"/>
                <w:sz w:val="18"/>
              </w:rPr>
              <w:t>주요 고객/테마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814"/>
            <w:shd w:val="clear" w:color="auto" w:fill="F5F2EA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333333"/>
                <w:sz w:val="18"/>
              </w:rPr>
              <w:t>시가총액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814"/>
            <w:shd w:val="clear" w:color="auto" w:fill="F5F2EA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333333"/>
                <w:sz w:val="18"/>
              </w:rPr>
              <w:t>발행주식수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1814"/>
            <w:shd w:val="clear" w:color="auto" w:fill="F5F2EA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333333"/>
                <w:sz w:val="18"/>
              </w:rPr>
              <w:t>52주 최고/최저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1814"/>
            <w:shd w:val="clear" w:color="auto" w:fill="F5F2EA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333333"/>
                <w:sz w:val="18"/>
              </w:rPr>
              <w:t>외국인 지분</w:t>
            </w:r>
          </w:p>
        </w:tc>
        <w:tc>
          <w:tcPr>
            <w:tcW w:type="dxa" w:w="3231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–</w:t>
            </w:r>
          </w:p>
        </w:tc>
      </w:tr>
    </w:tbl>
    <w:p>
      <w:pPr>
        <w:spacing w:after="80" w:line="283" w:lineRule="auto"/>
      </w:pPr>
      <w:r>
        <w:rPr>
          <w:rFonts w:ascii="맑은 고딕" w:hAnsi="맑은 고딕" w:eastAsia="맑은 고딕" w:cs="맑은 고딕"/>
          <w:b/>
          <w:color w:val="7A663C"/>
          <w:sz w:val="18"/>
        </w:rPr>
        <w:t xml:space="preserve">사업 한 줄 요약:  </w:t>
      </w:r>
      <w:r>
        <w:rPr>
          <w:rFonts w:ascii="맑은 고딕" w:hAnsi="맑은 고딕" w:eastAsia="맑은 고딕" w:cs="맑은 고딕"/>
          <w:i w:val="0"/>
          <w:color w:val="333333"/>
          <w:sz w:val="18"/>
        </w:rPr>
        <w:t>[ 사업 모델·시장 지위를 1~2문장, 개조식으로 작성 ]</w:t>
      </w:r>
    </w:p>
    <w:p>
      <w:pPr>
        <w:spacing w:before="200" w:after="80"/>
        <w:pBdr>
          <w:bottom w:val="single" w:sz="14" w:space="3" w:color="9D844E"/>
        </w:pBdr>
      </w:pPr>
      <w:r>
        <w:rPr>
          <w:rFonts w:ascii="맑은 고딕" w:hAnsi="맑은 고딕" w:eastAsia="맑은 고딕" w:cs="맑은 고딕"/>
          <w:b/>
          <w:color w:val="9D844E"/>
          <w:sz w:val="26"/>
        </w:rPr>
        <w:t xml:space="preserve">2   </w:t>
      </w:r>
      <w:r>
        <w:rPr>
          <w:rFonts w:ascii="맑은 고딕" w:hAnsi="맑은 고딕" w:eastAsia="맑은 고딕" w:cs="맑은 고딕"/>
          <w:b/>
          <w:color w:val="7A663C"/>
          <w:sz w:val="24"/>
        </w:rPr>
        <w:t>매수 이유</w:t>
      </w:r>
      <w:r>
        <w:rPr>
          <w:rFonts w:ascii="맑은 고딕" w:hAnsi="맑은 고딕" w:eastAsia="맑은 고딕" w:cs="맑은 고딕"/>
          <w:b w:val="0"/>
          <w:color w:val="808080"/>
          <w:sz w:val="18"/>
        </w:rPr>
        <w:t xml:space="preserve">   (Investment Thesis)</w:t>
      </w:r>
    </w:p>
    <w:p>
      <w:pPr>
        <w:spacing w:after="60" w:line="283" w:lineRule="auto"/>
      </w:pPr>
      <w:r>
        <w:rPr>
          <w:rFonts w:ascii="맑은 고딕" w:hAnsi="맑은 고딕" w:eastAsia="맑은 고딕" w:cs="맑은 고딕"/>
          <w:b/>
          <w:color w:val="7A663C"/>
          <w:sz w:val="19"/>
        </w:rPr>
        <w:t xml:space="preserve">① [포인트 제목] — </w:t>
      </w:r>
      <w:r>
        <w:rPr>
          <w:rFonts w:ascii="맑은 고딕" w:hAnsi="맑은 고딕" w:eastAsia="맑은 고딕" w:cs="맑은 고딕"/>
          <w:i w:val="0"/>
          <w:sz w:val="19"/>
        </w:rPr>
        <w:t>[ 개조식(~함/~임)으로 작성 ]</w:t>
      </w:r>
    </w:p>
    <w:p>
      <w:pPr>
        <w:spacing w:after="60" w:line="283" w:lineRule="auto"/>
      </w:pPr>
      <w:r>
        <w:rPr>
          <w:rFonts w:ascii="맑은 고딕" w:hAnsi="맑은 고딕" w:eastAsia="맑은 고딕" w:cs="맑은 고딕"/>
          <w:b/>
          <w:color w:val="7A663C"/>
          <w:sz w:val="19"/>
        </w:rPr>
        <w:t xml:space="preserve">② [포인트 제목] — </w:t>
      </w:r>
      <w:r>
        <w:rPr>
          <w:rFonts w:ascii="맑은 고딕" w:hAnsi="맑은 고딕" w:eastAsia="맑은 고딕" w:cs="맑은 고딕"/>
          <w:i w:val="0"/>
          <w:sz w:val="19"/>
        </w:rPr>
        <w:t>[ 개조식(~함/~임)으로 작성 ]</w:t>
      </w:r>
    </w:p>
    <w:p>
      <w:pPr>
        <w:spacing w:after="60" w:line="283" w:lineRule="auto"/>
      </w:pPr>
      <w:r>
        <w:rPr>
          <w:rFonts w:ascii="맑은 고딕" w:hAnsi="맑은 고딕" w:eastAsia="맑은 고딕" w:cs="맑은 고딕"/>
          <w:b/>
          <w:color w:val="7A663C"/>
          <w:sz w:val="19"/>
        </w:rPr>
        <w:t xml:space="preserve">③ [포인트 제목] — </w:t>
      </w:r>
      <w:r>
        <w:rPr>
          <w:rFonts w:ascii="맑은 고딕" w:hAnsi="맑은 고딕" w:eastAsia="맑은 고딕" w:cs="맑은 고딕"/>
          <w:i w:val="0"/>
          <w:sz w:val="19"/>
        </w:rPr>
        <w:t>[ 개조식(~함/~임)으로 작성 ]</w:t>
      </w:r>
    </w:p>
    <w:p>
      <w:pPr>
        <w:spacing w:after="60" w:line="283" w:lineRule="auto"/>
      </w:pPr>
      <w:r>
        <w:rPr>
          <w:rFonts w:ascii="맑은 고딕" w:hAnsi="맑은 고딕" w:eastAsia="맑은 고딕" w:cs="맑은 고딕"/>
          <w:b/>
          <w:color w:val="7A663C"/>
          <w:sz w:val="19"/>
        </w:rPr>
        <w:t xml:space="preserve">④ [포인트 제목] — </w:t>
      </w:r>
      <w:r>
        <w:rPr>
          <w:rFonts w:ascii="맑은 고딕" w:hAnsi="맑은 고딕" w:eastAsia="맑은 고딕" w:cs="맑은 고딕"/>
          <w:i w:val="0"/>
          <w:sz w:val="19"/>
        </w:rPr>
        <w:t>[ 개조식(~함/~임)으로 작성 ]</w:t>
      </w:r>
    </w:p>
    <w:p>
      <w:pPr>
        <w:spacing w:before="200" w:after="80"/>
        <w:pBdr>
          <w:bottom w:val="single" w:sz="14" w:space="3" w:color="9D844E"/>
        </w:pBdr>
      </w:pPr>
      <w:r>
        <w:rPr>
          <w:rFonts w:ascii="맑은 고딕" w:hAnsi="맑은 고딕" w:eastAsia="맑은 고딕" w:cs="맑은 고딕"/>
          <w:b/>
          <w:color w:val="9D844E"/>
          <w:sz w:val="26"/>
        </w:rPr>
        <w:t xml:space="preserve">3   </w:t>
      </w:r>
      <w:r>
        <w:rPr>
          <w:rFonts w:ascii="맑은 고딕" w:hAnsi="맑은 고딕" w:eastAsia="맑은 고딕" w:cs="맑은 고딕"/>
          <w:b/>
          <w:color w:val="7A663C"/>
          <w:sz w:val="24"/>
        </w:rPr>
        <w:t>밸류에이션</w:t>
      </w:r>
      <w:r>
        <w:rPr>
          <w:rFonts w:ascii="맑은 고딕" w:hAnsi="맑은 고딕" w:eastAsia="맑은 고딕" w:cs="맑은 고딕"/>
          <w:b w:val="0"/>
          <w:color w:val="808080"/>
          <w:sz w:val="18"/>
        </w:rPr>
        <w:t xml:space="preserve">   (Valuation)</w:t>
      </w:r>
    </w:p>
    <w:p>
      <w:pPr>
        <w:spacing w:after="80" w:line="283" w:lineRule="auto"/>
      </w:pPr>
      <w:r>
        <w:rPr>
          <w:rFonts w:ascii="맑은 고딕" w:hAnsi="맑은 고딕" w:eastAsia="맑은 고딕" w:cs="맑은 고딕"/>
          <w:i w:val="0"/>
          <w:sz w:val="19"/>
        </w:rPr>
        <w:t>[ Peer 대비 위치, 적용 멀티플 선택 근거(PER/PBR/EV-EBITDA/SOTP), 프리미엄·디스카운트 사유. 개조식. ]</w:t>
      </w:r>
    </w:p>
    <w:p>
      <w:pPr>
        <w:spacing w:before="120" w:after="60"/>
      </w:pPr>
      <w:r>
        <w:rPr>
          <w:rFonts w:ascii="맑은 고딕" w:hAnsi="맑은 고딕" w:eastAsia="맑은 고딕" w:cs="맑은 고딕"/>
          <w:b/>
          <w:color w:val="7A663C"/>
          <w:sz w:val="20"/>
        </w:rPr>
        <w:t>■ 동종업계 비교 (Peers, LTM 기준)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835"/>
            <w:shd w:val="clear" w:color="auto" w:fill="7A663C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종목</w:t>
            </w:r>
          </w:p>
        </w:tc>
        <w:tc>
          <w:tcPr>
            <w:tcW w:type="dxa" w:w="2415"/>
            <w:shd w:val="clear" w:color="auto" w:fill="7A663C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PER(배)</w:t>
            </w:r>
          </w:p>
        </w:tc>
        <w:tc>
          <w:tcPr>
            <w:tcW w:type="dxa" w:w="2415"/>
            <w:shd w:val="clear" w:color="auto" w:fill="7A663C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PBR(배)</w:t>
            </w:r>
          </w:p>
        </w:tc>
        <w:tc>
          <w:tcPr>
            <w:tcW w:type="dxa" w:w="2415"/>
            <w:shd w:val="clear" w:color="auto" w:fill="7A663C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ROE(%)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[Peer 1]</w:t>
            </w:r>
          </w:p>
        </w:tc>
        <w:tc>
          <w:tcPr>
            <w:tcW w:type="dxa" w:w="241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1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1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[Peer 2]</w:t>
            </w:r>
          </w:p>
        </w:tc>
        <w:tc>
          <w:tcPr>
            <w:tcW w:type="dxa" w:w="241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1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1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[Peer 3]</w:t>
            </w:r>
          </w:p>
        </w:tc>
        <w:tc>
          <w:tcPr>
            <w:tcW w:type="dxa" w:w="241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1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–</w:t>
            </w:r>
          </w:p>
        </w:tc>
        <w:tc>
          <w:tcPr>
            <w:tcW w:type="dxa" w:w="241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8"/>
              </w:rPr>
              <w:t>–</w:t>
            </w:r>
          </w:p>
        </w:tc>
      </w:tr>
      <w:tr>
        <w:tc>
          <w:tcPr>
            <w:tcW w:type="dxa" w:w="2835"/>
            <w:vAlign w:val="center"/>
            <w:shd w:val="clear" w:color="auto" w:fill="F5F2E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8"/>
              </w:rPr>
              <w:t>(평균)</w:t>
            </w:r>
          </w:p>
        </w:tc>
        <w:tc>
          <w:tcPr>
            <w:tcW w:type="dxa" w:w="2415"/>
            <w:vAlign w:val="center"/>
            <w:shd w:val="clear" w:color="auto" w:fill="F5F2E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8"/>
              </w:rPr>
              <w:t>–</w:t>
            </w:r>
          </w:p>
        </w:tc>
        <w:tc>
          <w:tcPr>
            <w:tcW w:type="dxa" w:w="2415"/>
            <w:vAlign w:val="center"/>
            <w:shd w:val="clear" w:color="auto" w:fill="F5F2E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8"/>
              </w:rPr>
              <w:t>–</w:t>
            </w:r>
          </w:p>
        </w:tc>
        <w:tc>
          <w:tcPr>
            <w:tcW w:type="dxa" w:w="2415"/>
            <w:vAlign w:val="center"/>
            <w:shd w:val="clear" w:color="auto" w:fill="F5F2EA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8"/>
              </w:rPr>
              <w:t>–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8"/>
              </w:rPr>
              <w:t>대상 종목(현재)</w:t>
            </w:r>
          </w:p>
        </w:tc>
        <w:tc>
          <w:tcPr>
            <w:tcW w:type="dxa" w:w="241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8"/>
              </w:rPr>
              <w:t>–</w:t>
            </w:r>
          </w:p>
        </w:tc>
        <w:tc>
          <w:tcPr>
            <w:tcW w:type="dxa" w:w="241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8"/>
              </w:rPr>
              <w:t>–</w:t>
            </w:r>
          </w:p>
        </w:tc>
        <w:tc>
          <w:tcPr>
            <w:tcW w:type="dxa" w:w="241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8"/>
              </w:rPr>
              <w:t>–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맑은 고딕" w:hAnsi="맑은 고딕" w:eastAsia="맑은 고딕" w:cs="맑은 고딕"/>
          <w:b/>
          <w:color w:val="7A663C"/>
          <w:sz w:val="20"/>
        </w:rPr>
        <w:t>■ 목표가 산정 (Target Price)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</w:tblPr>
      <w:tblGrid>
        <w:gridCol w:w="2108"/>
        <w:gridCol w:w="2108"/>
        <w:gridCol w:w="2108"/>
        <w:gridCol w:w="2108"/>
        <w:gridCol w:w="2108"/>
      </w:tblGrid>
      <w:tr>
        <w:tc>
          <w:tcPr>
            <w:tcW w:type="dxa" w:w="2018"/>
            <w:shd w:val="clear" w:color="auto" w:fill="7A663C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적용 이익</w:t>
            </w:r>
          </w:p>
        </w:tc>
        <w:tc>
          <w:tcPr>
            <w:tcW w:type="dxa" w:w="2018"/>
            <w:shd w:val="clear" w:color="auto" w:fill="7A663C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목표 멀티플</w:t>
            </w:r>
          </w:p>
        </w:tc>
        <w:tc>
          <w:tcPr>
            <w:tcW w:type="dxa" w:w="2018"/>
            <w:shd w:val="clear" w:color="auto" w:fill="7A663C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목표주가</w:t>
            </w:r>
          </w:p>
        </w:tc>
        <w:tc>
          <w:tcPr>
            <w:tcW w:type="dxa" w:w="2018"/>
            <w:shd w:val="clear" w:color="auto" w:fill="7A663C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현재주가</w:t>
            </w:r>
          </w:p>
        </w:tc>
        <w:tc>
          <w:tcPr>
            <w:tcW w:type="dxa" w:w="2018"/>
            <w:shd w:val="clear" w:color="auto" w:fill="7A663C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7"/>
              </w:rPr>
              <w:t>상승여력</w:t>
            </w:r>
          </w:p>
        </w:tc>
      </w:tr>
      <w:tr>
        <w:tc>
          <w:tcPr>
            <w:tcW w:type="dxa" w:w="201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–</w:t>
            </w:r>
            <w:r>
              <w:br/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(적용 이익)</w:t>
            </w:r>
          </w:p>
        </w:tc>
        <w:tc>
          <w:tcPr>
            <w:tcW w:type="dxa" w:w="201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–배</w:t>
            </w:r>
          </w:p>
        </w:tc>
        <w:tc>
          <w:tcPr>
            <w:tcW w:type="dxa" w:w="201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7A663C"/>
                <w:sz w:val="19"/>
              </w:rPr>
              <w:t>00,000원</w:t>
            </w:r>
          </w:p>
        </w:tc>
        <w:tc>
          <w:tcPr>
            <w:tcW w:type="dxa" w:w="201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8"/>
              </w:rPr>
              <w:t>00,000원</w:t>
            </w:r>
          </w:p>
        </w:tc>
        <w:tc>
          <w:tcPr>
            <w:tcW w:type="dxa" w:w="2018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7A663C"/>
                <w:sz w:val="19"/>
              </w:rPr>
              <w:t>+0.0%</w:t>
            </w:r>
          </w:p>
        </w:tc>
      </w:tr>
    </w:tbl>
    <w:p>
      <w:pPr>
        <w:spacing w:after="40" w:line="283" w:lineRule="auto"/>
      </w:pPr>
      <w:r>
        <w:rPr>
          <w:rFonts w:ascii="맑은 고딕" w:hAnsi="맑은 고딕" w:eastAsia="맑은 고딕" w:cs="맑은 고딕"/>
          <w:i/>
          <w:color w:val="808080"/>
          <w:sz w:val="17"/>
        </w:rPr>
        <w:t>[ 목표주가 = 적용 이익 × 목표 멀티플. 산정 가정과 보수성·민감도(상·하단)를 개조식으로 1~2문장. ]</w:t>
      </w:r>
    </w:p>
    <w:p>
      <w:pPr>
        <w:pageBreakBefore/>
        <w:spacing w:before="0" w:after="80"/>
        <w:pBdr>
          <w:bottom w:val="single" w:sz="14" w:space="3" w:color="9D844E"/>
        </w:pBdr>
      </w:pPr>
      <w:r>
        <w:rPr>
          <w:rFonts w:ascii="맑은 고딕" w:hAnsi="맑은 고딕" w:eastAsia="맑은 고딕" w:cs="맑은 고딕"/>
          <w:b/>
          <w:color w:val="9D844E"/>
          <w:sz w:val="26"/>
        </w:rPr>
        <w:t xml:space="preserve">4   </w:t>
      </w:r>
      <w:r>
        <w:rPr>
          <w:rFonts w:ascii="맑은 고딕" w:hAnsi="맑은 고딕" w:eastAsia="맑은 고딕" w:cs="맑은 고딕"/>
          <w:b/>
          <w:color w:val="7A663C"/>
          <w:sz w:val="24"/>
        </w:rPr>
        <w:t>매매 전략 상세</w:t>
      </w:r>
      <w:r>
        <w:rPr>
          <w:rFonts w:ascii="맑은 고딕" w:hAnsi="맑은 고딕" w:eastAsia="맑은 고딕" w:cs="맑은 고딕"/>
          <w:b w:val="0"/>
          <w:color w:val="808080"/>
          <w:sz w:val="18"/>
        </w:rPr>
        <w:t xml:space="preserve">   (Trading Strategy)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523"/>
            <w:shd w:val="clear" w:color="auto" w:fill="7A663C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매수가</w:t>
            </w:r>
          </w:p>
        </w:tc>
        <w:tc>
          <w:tcPr>
            <w:tcW w:type="dxa" w:w="2523"/>
            <w:shd w:val="clear" w:color="auto" w:fill="7A663C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손절가</w:t>
            </w:r>
          </w:p>
        </w:tc>
        <w:tc>
          <w:tcPr>
            <w:tcW w:type="dxa" w:w="2523"/>
            <w:shd w:val="clear" w:color="auto" w:fill="7A663C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목표가</w:t>
            </w:r>
          </w:p>
        </w:tc>
        <w:tc>
          <w:tcPr>
            <w:tcW w:type="dxa" w:w="2523"/>
            <w:shd w:val="clear" w:color="auto" w:fill="7A663C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9"/>
              </w:rPr>
              <w:t>전략 유형</w:t>
            </w:r>
          </w:p>
        </w:tc>
      </w:tr>
      <w:tr>
        <w:tc>
          <w:tcPr>
            <w:tcW w:type="dxa" w:w="2523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00,000 ~ 00,000원</w:t>
            </w:r>
          </w:p>
        </w:tc>
        <w:tc>
          <w:tcPr>
            <w:tcW w:type="dxa" w:w="2523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00,000원</w:t>
            </w:r>
            <w:r>
              <w:br/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(-0%)</w:t>
            </w:r>
          </w:p>
        </w:tc>
        <w:tc>
          <w:tcPr>
            <w:tcW w:type="dxa" w:w="2523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00,000원</w:t>
            </w:r>
            <w:r>
              <w:br/>
            </w:r>
            <w:r>
              <w:rPr>
                <w:rFonts w:ascii="맑은 고딕" w:hAnsi="맑은 고딕" w:eastAsia="맑은 고딕" w:cs="맑은 고딕"/>
                <w:b/>
                <w:i w:val="0"/>
                <w:color w:val="000000"/>
                <w:sz w:val="19"/>
              </w:rPr>
              <w:t>(+0%)</w:t>
            </w:r>
          </w:p>
        </w:tc>
        <w:tc>
          <w:tcPr>
            <w:tcW w:type="dxa" w:w="2523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7A663C"/>
                <w:sz w:val="19"/>
              </w:rPr>
              <w:t>[전략유형]</w:t>
            </w:r>
          </w:p>
        </w:tc>
      </w:tr>
    </w:tbl>
    <w:p>
      <w:pPr>
        <w:spacing w:after="60" w:line="283" w:lineRule="auto"/>
      </w:pPr>
      <w:r>
        <w:rPr>
          <w:rFonts w:ascii="맑은 고딕" w:hAnsi="맑은 고딕" w:eastAsia="맑은 고딕" w:cs="맑은 고딕"/>
          <w:i w:val="0"/>
          <w:sz w:val="19"/>
        </w:rPr>
        <w:t>[ 진입 로직(분할매수 트리거·가격대), 청산 규칙(목표/손절/트레일링), 비중 관리(피라미딩·리밸런싱)를 개조식으로 서술. ]</w:t>
      </w:r>
    </w:p>
    <w:p>
      <w:pPr>
        <w:spacing w:before="200" w:after="80"/>
        <w:pBdr>
          <w:bottom w:val="single" w:sz="14" w:space="3" w:color="9D844E"/>
        </w:pBdr>
      </w:pPr>
      <w:r>
        <w:rPr>
          <w:rFonts w:ascii="맑은 고딕" w:hAnsi="맑은 고딕" w:eastAsia="맑은 고딕" w:cs="맑은 고딕"/>
          <w:b/>
          <w:color w:val="9D844E"/>
          <w:sz w:val="26"/>
        </w:rPr>
        <w:t xml:space="preserve">5   </w:t>
      </w:r>
      <w:r>
        <w:rPr>
          <w:rFonts w:ascii="맑은 고딕" w:hAnsi="맑은 고딕" w:eastAsia="맑은 고딕" w:cs="맑은 고딕"/>
          <w:b/>
          <w:color w:val="7A663C"/>
          <w:sz w:val="24"/>
        </w:rPr>
        <w:t>리스크 요인 및 재검토 조건</w:t>
      </w:r>
      <w:r>
        <w:rPr>
          <w:rFonts w:ascii="맑은 고딕" w:hAnsi="맑은 고딕" w:eastAsia="맑은 고딕" w:cs="맑은 고딕"/>
          <w:b w:val="0"/>
          <w:color w:val="808080"/>
          <w:sz w:val="18"/>
        </w:rPr>
        <w:t xml:space="preserve">   (Risks &amp; Review Triggers)</w:t>
      </w:r>
    </w:p>
    <w:p>
      <w:pPr>
        <w:pStyle w:val="ListBullet"/>
        <w:spacing w:after="20" w:line="283" w:lineRule="auto"/>
      </w:pPr>
      <w:r>
        <w:rPr>
          <w:rFonts w:ascii="맑은 고딕" w:hAnsi="맑은 고딕" w:eastAsia="맑은 고딕" w:cs="맑은 고딕"/>
          <w:i w:val="0"/>
          <w:sz w:val="19"/>
        </w:rPr>
        <w:t>[ 리스크 요인 — 모니터링 지표 ]</w:t>
      </w:r>
    </w:p>
    <w:p>
      <w:pPr>
        <w:pStyle w:val="ListBullet"/>
        <w:spacing w:after="20" w:line="283" w:lineRule="auto"/>
      </w:pPr>
      <w:r>
        <w:rPr>
          <w:rFonts w:ascii="맑은 고딕" w:hAnsi="맑은 고딕" w:eastAsia="맑은 고딕" w:cs="맑은 고딕"/>
          <w:i w:val="0"/>
          <w:sz w:val="19"/>
        </w:rPr>
        <w:t>[ 리스크 요인 — 모니터링 지표 ]</w:t>
      </w:r>
    </w:p>
    <w:p>
      <w:pPr>
        <w:pStyle w:val="ListBullet"/>
        <w:spacing w:after="20" w:line="283" w:lineRule="auto"/>
      </w:pPr>
      <w:r>
        <w:rPr>
          <w:rFonts w:ascii="맑은 고딕" w:hAnsi="맑은 고딕" w:eastAsia="맑은 고딕" w:cs="맑은 고딕"/>
          <w:i w:val="0"/>
          <w:sz w:val="19"/>
        </w:rPr>
        <w:t>[ 리스크 요인 — 모니터링 지표 ]</w:t>
      </w:r>
    </w:p>
    <w:p>
      <w:pPr>
        <w:spacing w:after="60" w:line="283" w:lineRule="auto"/>
      </w:pPr>
      <w:r>
        <w:rPr>
          <w:rFonts w:ascii="맑은 고딕" w:hAnsi="맑은 고딕" w:eastAsia="맑은 고딕" w:cs="맑은 고딕"/>
          <w:b/>
          <w:color w:val="7A663C"/>
          <w:sz w:val="19"/>
        </w:rPr>
        <w:t xml:space="preserve">재검토(매도) 조건:  </w:t>
      </w:r>
      <w:r>
        <w:rPr>
          <w:rFonts w:ascii="맑은 고딕" w:hAnsi="맑은 고딕" w:eastAsia="맑은 고딕" w:cs="맑은 고딕"/>
          <w:i w:val="0"/>
          <w:sz w:val="19"/>
        </w:rPr>
        <w:t>[ ① / ② / ③ 매도(재검토) 트리거를 구체적으로 ]</w:t>
      </w:r>
    </w:p>
    <w:p>
      <w:pPr>
        <w:spacing w:before="200" w:after="80"/>
        <w:pBdr>
          <w:bottom w:val="single" w:sz="14" w:space="3" w:color="9D844E"/>
        </w:pBdr>
      </w:pPr>
      <w:r>
        <w:rPr>
          <w:rFonts w:ascii="맑은 고딕" w:hAnsi="맑은 고딕" w:eastAsia="맑은 고딕" w:cs="맑은 고딕"/>
          <w:b/>
          <w:color w:val="9D844E"/>
          <w:sz w:val="26"/>
        </w:rPr>
        <w:t xml:space="preserve">6   </w:t>
      </w:r>
      <w:r>
        <w:rPr>
          <w:rFonts w:ascii="맑은 고딕" w:hAnsi="맑은 고딕" w:eastAsia="맑은 고딕" w:cs="맑은 고딕"/>
          <w:b/>
          <w:color w:val="7A663C"/>
          <w:sz w:val="24"/>
        </w:rPr>
        <w:t>결론</w:t>
      </w:r>
      <w:r>
        <w:rPr>
          <w:rFonts w:ascii="맑은 고딕" w:hAnsi="맑은 고딕" w:eastAsia="맑은 고딕" w:cs="맑은 고딕"/>
          <w:b w:val="0"/>
          <w:color w:val="808080"/>
          <w:sz w:val="18"/>
        </w:rPr>
        <w:t xml:space="preserve">   (Conclusion)</w:t>
      </w:r>
    </w:p>
    <w:p>
      <w:pPr>
        <w:spacing w:after="80" w:line="283" w:lineRule="auto"/>
      </w:pPr>
      <w:r>
        <w:rPr>
          <w:rFonts w:ascii="맑은 고딕" w:hAnsi="맑은 고딕" w:eastAsia="맑은 고딕" w:cs="맑은 고딕"/>
          <w:i w:val="0"/>
          <w:sz w:val="19"/>
        </w:rPr>
        <w:t>[ 매수 논지 요약 + 리스크 관리 방식(손절선·목표가·비중) + 투자의견. 개조식. ]</w:t>
      </w:r>
    </w:p>
    <w:p>
      <w:pPr>
        <w:spacing w:before="200" w:after="80"/>
        <w:pBdr>
          <w:bottom w:val="single" w:sz="14" w:space="3" w:color="9D844E"/>
        </w:pBdr>
      </w:pPr>
      <w:r>
        <w:rPr>
          <w:rFonts w:ascii="맑은 고딕" w:hAnsi="맑은 고딕" w:eastAsia="맑은 고딕" w:cs="맑은 고딕"/>
          <w:b/>
          <w:color w:val="7A663C"/>
          <w:sz w:val="20"/>
        </w:rPr>
        <w:t>부록 : 요약 재무제표  (단위: 억원)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</w:tblPr>
      <w:tblGrid>
        <w:gridCol w:w="3513"/>
        <w:gridCol w:w="3513"/>
        <w:gridCol w:w="3513"/>
      </w:tblGrid>
      <w:tr>
        <w:tc>
          <w:tcPr>
            <w:tcW w:type="dxa" w:w="3402"/>
            <w:shd w:val="clear" w:color="auto" w:fill="7A663C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구분</w:t>
            </w:r>
          </w:p>
        </w:tc>
        <w:tc>
          <w:tcPr>
            <w:tcW w:type="dxa" w:w="3345"/>
            <w:shd w:val="clear" w:color="auto" w:fill="7A663C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20__</w:t>
            </w:r>
          </w:p>
        </w:tc>
        <w:tc>
          <w:tcPr>
            <w:tcW w:type="dxa" w:w="3345"/>
            <w:shd w:val="clear" w:color="auto" w:fill="7A663C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color w:val="FFFFFF"/>
                <w:sz w:val="18"/>
              </w:rPr>
              <w:t>20__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7"/>
              </w:rPr>
              <w:t>자산총계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–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–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7"/>
              </w:rPr>
              <w:t>부채총계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–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–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7"/>
              </w:rPr>
              <w:t>자본총계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–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–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7"/>
              </w:rPr>
              <w:t>부채비율(%)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–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–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맑은 고딕" w:hAnsi="맑은 고딕" w:eastAsia="맑은 고딕" w:cs="맑은 고딕"/>
                <w:b/>
                <w:i w:val="0"/>
                <w:sz w:val="17"/>
              </w:rPr>
              <w:t>ROE(%)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–</w:t>
            </w:r>
          </w:p>
        </w:tc>
        <w:tc>
          <w:tcPr>
            <w:tcW w:type="dxa" w:w="3345"/>
            <w:vAlign w:val="center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i w:val="0"/>
                <w:sz w:val="17"/>
              </w:rPr>
              <w:t>–</w:t>
            </w:r>
          </w:p>
        </w:tc>
      </w:tr>
    </w:tbl>
    <w:sectPr w:rsidR="00FC693F" w:rsidRPr="0006063C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