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6F5EF5F">
      <w:pPr>
        <w:pStyle w:val="style0"/>
        <w:jc w:val="center"/>
        <w:rPr/>
      </w:pPr>
      <w:r>
        <w:rPr>
          <w:b/>
          <w:sz w:val="36"/>
        </w:rPr>
        <w:t>DEVELOPMENT AND ADAPTATION OF A TONE-MARKED IGBO LEXICAL DATASET</w:t>
      </w:r>
    </w:p>
    <w:p w14:paraId="6C92CC36">
      <w:pPr>
        <w:pStyle w:val="style0"/>
        <w:jc w:val="center"/>
        <w:rPr/>
      </w:pPr>
      <w:r>
        <w:rPr>
          <w:b/>
          <w:sz w:val="28"/>
        </w:rPr>
        <w:t>Adaption &amp; Evaluation Report</w:t>
      </w:r>
    </w:p>
    <w:p w14:paraId="E30E1CDE">
      <w:pPr>
        <w:pStyle w:val="style0"/>
        <w:jc w:val="center"/>
        <w:rPr/>
      </w:pPr>
      <w:r>
        <w:rPr>
          <w:i/>
        </w:rPr>
        <w:t>Language: Igbo | Phenomenon: Tone | Unit of analysis: Word</w:t>
      </w:r>
    </w:p>
    <w:p w14:paraId="2E45A156">
      <w:pPr>
        <w:pStyle w:val="style1"/>
        <w:rPr/>
      </w:pPr>
      <w:r>
        <w:t>1. Project Definition</w:t>
      </w:r>
    </w:p>
    <w:p w14:paraId="25963267">
      <w:pPr>
        <w:pStyle w:val="style0"/>
        <w:rPr/>
      </w:pPr>
      <w:r>
        <w:t>This project develops and evaluates a tone-marked Igbo lexical dataset. The dataset represents Igbo lexical items with their English meanings and explicit tonal information, while preserving Igbo orthographic features such as ị, ọ, ụ and ṅ.</w:t>
      </w:r>
    </w:p>
    <w:p w14:paraId="DF7AFDCD">
      <w:pPr>
        <w:pStyle w:val="style0"/>
        <w:rPr/>
      </w:pPr>
      <w:r>
        <w:t>Research question:</w:t>
      </w:r>
    </w:p>
    <w:p w14:paraId="173A57FD">
      <w:pPr>
        <w:pStyle w:val="style0"/>
        <w:rPr/>
      </w:pPr>
      <w:r>
        <w:rPr>
          <w:b/>
        </w:rPr>
        <w:t>To what extent does Adaption Labs preserve tone information in a tone-marked Igbo lexical dataset?</w:t>
      </w:r>
    </w:p>
    <w:p w14:paraId="B4280105">
      <w:pPr>
        <w:pStyle w:val="style1"/>
        <w:rPr/>
      </w:pPr>
      <w:r>
        <w:t>2. Dataset Specification</w:t>
      </w:r>
    </w:p>
    <w:tbl>
      <w:tblPr>
        <w:tblStyle w:val="style154"/>
        <w:tblW w:w="0" w:type="auto"/>
        <w:jc w:val="center"/>
        <w:tblLook w:val="04A0" w:firstRow="1" w:lastRow="0" w:firstColumn="1" w:lastColumn="0" w:noHBand="0" w:noVBand="1"/>
      </w:tblPr>
      <w:tblGrid>
        <w:gridCol w:w="4320"/>
        <w:gridCol w:w="4320"/>
      </w:tblGrid>
      <w:tr w14:paraId="EB0E31B0">
        <w:trPr>
          <w:jc w:val="center"/>
        </w:trPr>
        <w:tc>
          <w:tcPr>
            <w:tcW w:w="4320" w:type="dxa"/>
            <w:tcBorders/>
          </w:tcPr>
          <w:p w14:paraId="CF5527ED">
            <w:pPr>
              <w:pStyle w:val="style0"/>
              <w:rPr/>
            </w:pPr>
            <w:r>
              <w:t>Field</w:t>
            </w:r>
          </w:p>
        </w:tc>
        <w:tc>
          <w:tcPr>
            <w:tcW w:w="4320" w:type="dxa"/>
            <w:tcBorders/>
          </w:tcPr>
          <w:p w14:paraId="4631C72B">
            <w:pPr>
              <w:pStyle w:val="style0"/>
              <w:rPr/>
            </w:pPr>
            <w:r>
              <w:t>Specification</w:t>
            </w:r>
          </w:p>
        </w:tc>
      </w:tr>
      <w:tr w14:paraId="C227565E">
        <w:tblPrEx/>
        <w:trPr>
          <w:jc w:val="center"/>
        </w:trPr>
        <w:tc>
          <w:tcPr>
            <w:tcW w:w="4320" w:type="dxa"/>
            <w:tcBorders/>
          </w:tcPr>
          <w:p w14:paraId="DAD175E0">
            <w:pPr>
              <w:pStyle w:val="style0"/>
              <w:rPr/>
            </w:pPr>
            <w:r>
              <w:t>Language</w:t>
            </w:r>
          </w:p>
        </w:tc>
        <w:tc>
          <w:tcPr>
            <w:tcW w:w="4320" w:type="dxa"/>
            <w:tcBorders/>
          </w:tcPr>
          <w:p w14:paraId="C7A0C85C">
            <w:pPr>
              <w:pStyle w:val="style0"/>
              <w:rPr/>
            </w:pPr>
            <w:r>
              <w:t>Igbo</w:t>
            </w:r>
          </w:p>
        </w:tc>
      </w:tr>
      <w:tr w14:paraId="A0DD7DFE">
        <w:tblPrEx/>
        <w:trPr>
          <w:jc w:val="center"/>
        </w:trPr>
        <w:tc>
          <w:tcPr>
            <w:tcW w:w="4320" w:type="dxa"/>
            <w:tcBorders/>
          </w:tcPr>
          <w:p w14:paraId="550C4B43">
            <w:pPr>
              <w:pStyle w:val="style0"/>
              <w:rPr/>
            </w:pPr>
            <w:r>
              <w:t>Linguistic phenomenon</w:t>
            </w:r>
          </w:p>
        </w:tc>
        <w:tc>
          <w:tcPr>
            <w:tcW w:w="4320" w:type="dxa"/>
            <w:tcBorders/>
          </w:tcPr>
          <w:p w14:paraId="6E9CB3FF">
            <w:pPr>
              <w:pStyle w:val="style0"/>
              <w:rPr/>
            </w:pPr>
            <w:r>
              <w:t>Tone</w:t>
            </w:r>
          </w:p>
        </w:tc>
      </w:tr>
      <w:tr w14:paraId="864F7C4A">
        <w:tblPrEx/>
        <w:trPr>
          <w:jc w:val="center"/>
        </w:trPr>
        <w:tc>
          <w:tcPr>
            <w:tcW w:w="4320" w:type="dxa"/>
            <w:tcBorders/>
          </w:tcPr>
          <w:p w14:paraId="59845418">
            <w:pPr>
              <w:pStyle w:val="style0"/>
              <w:rPr/>
            </w:pPr>
            <w:r>
              <w:t>Unit of analysis</w:t>
            </w:r>
          </w:p>
        </w:tc>
        <w:tc>
          <w:tcPr>
            <w:tcW w:w="4320" w:type="dxa"/>
            <w:tcBorders/>
          </w:tcPr>
          <w:p w14:paraId="EB78A5F9">
            <w:pPr>
              <w:pStyle w:val="style0"/>
              <w:rPr/>
            </w:pPr>
            <w:r>
              <w:t>Word / lexical item</w:t>
            </w:r>
          </w:p>
        </w:tc>
      </w:tr>
      <w:tr w14:paraId="EC51CE11">
        <w:tblPrEx/>
        <w:trPr>
          <w:jc w:val="center"/>
        </w:trPr>
        <w:tc>
          <w:tcPr>
            <w:tcW w:w="4320" w:type="dxa"/>
            <w:tcBorders/>
          </w:tcPr>
          <w:p w14:paraId="955E01E7">
            <w:pPr>
              <w:pStyle w:val="style0"/>
              <w:rPr/>
            </w:pPr>
            <w:r>
              <w:t>Prepared dataset size</w:t>
            </w:r>
          </w:p>
        </w:tc>
        <w:tc>
          <w:tcPr>
            <w:tcW w:w="4320" w:type="dxa"/>
            <w:tcBorders/>
          </w:tcPr>
          <w:p w14:paraId="C9A7129C">
            <w:pPr>
              <w:pStyle w:val="style0"/>
              <w:rPr/>
            </w:pPr>
            <w:r>
              <w:t>706 lexical items</w:t>
            </w:r>
          </w:p>
        </w:tc>
      </w:tr>
      <w:tr w14:paraId="E2407697">
        <w:tblPrEx/>
        <w:trPr>
          <w:jc w:val="center"/>
        </w:trPr>
        <w:tc>
          <w:tcPr>
            <w:tcW w:w="4320" w:type="dxa"/>
            <w:tcBorders/>
          </w:tcPr>
          <w:p w14:paraId="DBAFB3AB">
            <w:pPr>
              <w:pStyle w:val="style0"/>
              <w:rPr/>
            </w:pPr>
            <w:r>
              <w:t>Required fields</w:t>
            </w:r>
          </w:p>
        </w:tc>
        <w:tc>
          <w:tcPr>
            <w:tcW w:w="4320" w:type="dxa"/>
            <w:tcBorders/>
          </w:tcPr>
          <w:p w14:paraId="B41DB247">
            <w:pPr>
              <w:pStyle w:val="style0"/>
              <w:rPr/>
            </w:pPr>
            <w:r>
              <w:t>ID, Igbo word, meaning, tone pattern, source</w:t>
            </w:r>
          </w:p>
        </w:tc>
      </w:tr>
      <w:tr w14:paraId="50719B70">
        <w:tblPrEx/>
        <w:trPr>
          <w:jc w:val="center"/>
        </w:trPr>
        <w:tc>
          <w:tcPr>
            <w:tcW w:w="4320" w:type="dxa"/>
            <w:tcBorders/>
          </w:tcPr>
          <w:p w14:paraId="DCC6BD98">
            <w:pPr>
              <w:pStyle w:val="style0"/>
              <w:rPr/>
            </w:pPr>
            <w:r>
              <w:t>Adaptation input</w:t>
            </w:r>
          </w:p>
        </w:tc>
        <w:tc>
          <w:tcPr>
            <w:tcW w:w="4320" w:type="dxa"/>
            <w:tcBorders/>
          </w:tcPr>
          <w:p w14:paraId="5E9670C4">
            <w:pPr>
              <w:pStyle w:val="style0"/>
              <w:rPr/>
            </w:pPr>
            <w:r>
              <w:t>Prompt–completion dataset</w:t>
            </w:r>
          </w:p>
        </w:tc>
      </w:tr>
      <w:tr w14:paraId="8651570B">
        <w:tblPrEx/>
        <w:trPr>
          <w:jc w:val="center"/>
        </w:trPr>
        <w:tc>
          <w:tcPr>
            <w:tcW w:w="4320" w:type="dxa"/>
            <w:tcBorders/>
          </w:tcPr>
          <w:p w14:paraId="65522005">
            <w:pPr>
              <w:pStyle w:val="style0"/>
              <w:rPr/>
            </w:pPr>
            <w:r>
              <w:t>Adaptation evaluation set</w:t>
            </w:r>
          </w:p>
        </w:tc>
        <w:tc>
          <w:tcPr>
            <w:tcW w:w="4320" w:type="dxa"/>
            <w:tcBorders/>
          </w:tcPr>
          <w:p w14:paraId="B9690F42">
            <w:pPr>
              <w:pStyle w:val="style0"/>
              <w:rPr/>
            </w:pPr>
            <w:r>
              <w:t>703 rows present in the exported Adaption output</w:t>
            </w:r>
          </w:p>
        </w:tc>
      </w:tr>
    </w:tbl>
    <w:p w14:paraId="1CEF5A09">
      <w:pPr>
        <w:pStyle w:val="style1"/>
        <w:rPr/>
      </w:pPr>
      <w:r>
        <w:t>3. Adaption Methodology</w:t>
      </w:r>
    </w:p>
    <w:p w14:paraId="02EEF48E">
      <w:pPr>
        <w:pStyle w:val="style49"/>
        <w:rPr/>
      </w:pPr>
      <w:r>
        <w:t>The prepared lexical dataset was converted into a prompt–completion format suitable for the Adaption workflow.</w:t>
      </w:r>
    </w:p>
    <w:p w14:paraId="2E18DCB8">
      <w:pPr>
        <w:pStyle w:val="style49"/>
        <w:rPr/>
      </w:pPr>
      <w:r>
        <w:t>A pilot run was performed on four rows before the main adaptation run. The pilot was used to verify the dataset structure and adaptation workflow.</w:t>
      </w:r>
    </w:p>
    <w:p w14:paraId="8225B7F7">
      <w:pPr>
        <w:pStyle w:val="style49"/>
        <w:rPr/>
      </w:pPr>
      <w:r>
        <w:t>The adaptation task was configured as an instruction-style dataset, with prompt and completion columns selected as the fields to evolve.</w:t>
      </w:r>
    </w:p>
    <w:p w14:paraId="7914A1E0">
      <w:pPr>
        <w:pStyle w:val="style49"/>
        <w:rPr/>
      </w:pPr>
      <w:r>
        <w:t>The dataset was processed through Adaption Labs and the adapted output was exported for offline comparison.</w:t>
      </w:r>
    </w:p>
    <w:p w14:paraId="0002A383">
      <w:pPr>
        <w:pStyle w:val="style49"/>
        <w:rPr/>
      </w:pPr>
      <w:r>
        <w:t>The original/raw dataset was retained separately from the adapted dataset so that changes could be measured without overwriting the source data.</w:t>
      </w:r>
    </w:p>
    <w:p w14:paraId="DEC75F8C">
      <w:pPr>
        <w:pStyle w:val="style49"/>
        <w:rPr/>
      </w:pPr>
      <w:r>
        <w:t>The quantitative analysis reported below is based on the 703 rows available in the exported Adaption output.</w:t>
      </w:r>
    </w:p>
    <w:p w14:paraId="D541F1FD">
      <w:pPr>
        <w:pStyle w:val="style1"/>
        <w:rPr/>
      </w:pPr>
      <w:r>
        <w:t>4. Evaluation Method</w:t>
      </w:r>
    </w:p>
    <w:p w14:paraId="FD153AAF">
      <w:pPr>
        <w:pStyle w:val="style0"/>
        <w:rPr/>
      </w:pPr>
      <w:r>
        <w:t>The evaluation focused on explicit preservation of the original tone-marked lexical form. Because Adaption frequently generated explanatory text rather than a single lexical answer, a simple whole-response string comparison would be misleading. The analysis therefore distinguished between exact preservation of the original tone-marked form and preservation of the underlying lexical form when tone marks were ignored.</w:t>
      </w:r>
    </w:p>
    <w:p w14:paraId="CDE2EAD9">
      <w:pPr>
        <w:pStyle w:val="style0"/>
        <w:rPr/>
      </w:pPr>
      <w:r>
        <w:rPr>
          <w:b/>
        </w:rPr>
        <w:t xml:space="preserve">Exact tone-marked preservation: </w:t>
      </w:r>
      <w:r>
        <w:t>The exact original completion, including its tone marks, occurs in the adapted response.</w:t>
      </w:r>
    </w:p>
    <w:p w14:paraId="05A768C1">
      <w:pPr>
        <w:pStyle w:val="style0"/>
        <w:rPr/>
      </w:pPr>
      <w:r>
        <w:rPr>
          <w:b/>
        </w:rPr>
        <w:t xml:space="preserve">Lexical preservation without exact tone: </w:t>
      </w:r>
      <w:r>
        <w:t>The underlying lexical form is found after ignoring tone marks, but the original tone-marked form is not reproduced exactly.</w:t>
      </w:r>
    </w:p>
    <w:p w14:paraId="E181ECFD">
      <w:pPr>
        <w:pStyle w:val="style0"/>
        <w:rPr/>
      </w:pPr>
      <w:r>
        <w:rPr>
          <w:b/>
        </w:rPr>
        <w:t xml:space="preserve">Lexical form not found: </w:t>
      </w:r>
      <w:r>
        <w:t>The original lexical form is not detected in the adapted response.</w:t>
      </w:r>
    </w:p>
    <w:p w14:paraId="D16EA455">
      <w:pPr>
        <w:pStyle w:val="style0"/>
        <w:rPr/>
      </w:pPr>
      <w:r>
        <w:rPr>
          <w:b/>
        </w:rPr>
        <w:t xml:space="preserve">Tone-marked character presence: </w:t>
      </w:r>
      <w:r>
        <w:t>At least one acute/grave tone-marked character appears somewhere in the adapted response. This is descriptive only and is not treated as tone preservation.</w:t>
      </w:r>
    </w:p>
    <w:p w14:paraId="E1937795">
      <w:pPr>
        <w:pStyle w:val="style1"/>
        <w:rPr/>
      </w:pPr>
      <w:r>
        <w:t>5. Results</w:t>
      </w:r>
    </w:p>
    <w:tbl>
      <w:tblPr>
        <w:tblStyle w:val="style154"/>
        <w:tblW w:w="0" w:type="auto"/>
        <w:jc w:val="center"/>
        <w:tblLook w:val="04A0" w:firstRow="1" w:lastRow="0" w:firstColumn="1" w:lastColumn="0" w:noHBand="0" w:noVBand="1"/>
      </w:tblPr>
      <w:tblGrid>
        <w:gridCol w:w="2880"/>
        <w:gridCol w:w="2880"/>
        <w:gridCol w:w="2880"/>
      </w:tblGrid>
      <w:tr w14:paraId="00BCFDC2">
        <w:trPr>
          <w:jc w:val="center"/>
        </w:trPr>
        <w:tc>
          <w:tcPr>
            <w:tcW w:w="2880" w:type="dxa"/>
            <w:tcBorders/>
          </w:tcPr>
          <w:p w14:paraId="5AF8CDA6">
            <w:pPr>
              <w:pStyle w:val="style0"/>
              <w:rPr/>
            </w:pPr>
            <w:r>
              <w:t>Outcome</w:t>
            </w:r>
          </w:p>
        </w:tc>
        <w:tc>
          <w:tcPr>
            <w:tcW w:w="2880" w:type="dxa"/>
            <w:tcBorders/>
          </w:tcPr>
          <w:p w14:paraId="036E1112">
            <w:pPr>
              <w:pStyle w:val="style0"/>
              <w:rPr/>
            </w:pPr>
            <w:r>
              <w:t>Frequency</w:t>
            </w:r>
          </w:p>
        </w:tc>
        <w:tc>
          <w:tcPr>
            <w:tcW w:w="2880" w:type="dxa"/>
            <w:tcBorders/>
          </w:tcPr>
          <w:p w14:paraId="B40FB028">
            <w:pPr>
              <w:pStyle w:val="style0"/>
              <w:rPr/>
            </w:pPr>
            <w:r>
              <w:t>Percentage</w:t>
            </w:r>
          </w:p>
        </w:tc>
      </w:tr>
      <w:tr w14:paraId="7424DC78">
        <w:tblPrEx/>
        <w:trPr>
          <w:jc w:val="center"/>
        </w:trPr>
        <w:tc>
          <w:tcPr>
            <w:tcW w:w="2880" w:type="dxa"/>
            <w:tcBorders/>
          </w:tcPr>
          <w:p w14:paraId="861AF860">
            <w:pPr>
              <w:pStyle w:val="style0"/>
              <w:rPr/>
            </w:pPr>
            <w:r>
              <w:t>Exact original tone-marked form preserved</w:t>
            </w:r>
          </w:p>
        </w:tc>
        <w:tc>
          <w:tcPr>
            <w:tcW w:w="2880" w:type="dxa"/>
            <w:tcBorders/>
          </w:tcPr>
          <w:p w14:paraId="83AAB3D9">
            <w:pPr>
              <w:pStyle w:val="style0"/>
              <w:rPr/>
            </w:pPr>
            <w:r>
              <w:t>21</w:t>
            </w:r>
          </w:p>
        </w:tc>
        <w:tc>
          <w:tcPr>
            <w:tcW w:w="2880" w:type="dxa"/>
            <w:tcBorders/>
          </w:tcPr>
          <w:p w14:paraId="E5F02D44">
            <w:pPr>
              <w:pStyle w:val="style0"/>
              <w:rPr/>
            </w:pPr>
            <w:r>
              <w:t>2.99%</w:t>
            </w:r>
          </w:p>
        </w:tc>
      </w:tr>
      <w:tr w14:paraId="B42BA68A">
        <w:tblPrEx/>
        <w:trPr>
          <w:jc w:val="center"/>
        </w:trPr>
        <w:tc>
          <w:tcPr>
            <w:tcW w:w="2880" w:type="dxa"/>
            <w:tcBorders/>
          </w:tcPr>
          <w:p w14:paraId="61C52DE9">
            <w:pPr>
              <w:pStyle w:val="style0"/>
              <w:rPr/>
            </w:pPr>
            <w:r>
              <w:t>Lexical form preserved, but tone marking not exact</w:t>
            </w:r>
          </w:p>
        </w:tc>
        <w:tc>
          <w:tcPr>
            <w:tcW w:w="2880" w:type="dxa"/>
            <w:tcBorders/>
          </w:tcPr>
          <w:p w14:paraId="04E26B26">
            <w:pPr>
              <w:pStyle w:val="style0"/>
              <w:rPr/>
            </w:pPr>
            <w:r>
              <w:t>280</w:t>
            </w:r>
          </w:p>
        </w:tc>
        <w:tc>
          <w:tcPr>
            <w:tcW w:w="2880" w:type="dxa"/>
            <w:tcBorders/>
          </w:tcPr>
          <w:p w14:paraId="60246934">
            <w:pPr>
              <w:pStyle w:val="style0"/>
              <w:rPr/>
            </w:pPr>
            <w:r>
              <w:t>39.83%</w:t>
            </w:r>
          </w:p>
        </w:tc>
      </w:tr>
      <w:tr w14:paraId="4AC12C6B">
        <w:tblPrEx/>
        <w:trPr>
          <w:jc w:val="center"/>
        </w:trPr>
        <w:tc>
          <w:tcPr>
            <w:tcW w:w="2880" w:type="dxa"/>
            <w:tcBorders/>
          </w:tcPr>
          <w:p w14:paraId="BDAF0A7C">
            <w:pPr>
              <w:pStyle w:val="style0"/>
              <w:rPr/>
            </w:pPr>
            <w:r>
              <w:t>Original lexical form not found</w:t>
            </w:r>
          </w:p>
        </w:tc>
        <w:tc>
          <w:tcPr>
            <w:tcW w:w="2880" w:type="dxa"/>
            <w:tcBorders/>
          </w:tcPr>
          <w:p w14:paraId="4D6C33D4">
            <w:pPr>
              <w:pStyle w:val="style0"/>
              <w:rPr/>
            </w:pPr>
            <w:r>
              <w:t>402</w:t>
            </w:r>
          </w:p>
        </w:tc>
        <w:tc>
          <w:tcPr>
            <w:tcW w:w="2880" w:type="dxa"/>
            <w:tcBorders/>
          </w:tcPr>
          <w:p w14:paraId="F480B58E">
            <w:pPr>
              <w:pStyle w:val="style0"/>
              <w:rPr/>
            </w:pPr>
            <w:r>
              <w:t>57.18%</w:t>
            </w:r>
          </w:p>
        </w:tc>
      </w:tr>
      <w:tr w14:paraId="C4353FD5">
        <w:tblPrEx/>
        <w:trPr>
          <w:jc w:val="center"/>
        </w:trPr>
        <w:tc>
          <w:tcPr>
            <w:tcW w:w="2880" w:type="dxa"/>
            <w:tcBorders/>
          </w:tcPr>
          <w:p w14:paraId="FF34BE9F">
            <w:pPr>
              <w:pStyle w:val="style0"/>
              <w:rPr/>
            </w:pPr>
            <w:r>
              <w:t>Adapted response contains some tone-marked characters</w:t>
            </w:r>
          </w:p>
        </w:tc>
        <w:tc>
          <w:tcPr>
            <w:tcW w:w="2880" w:type="dxa"/>
            <w:tcBorders/>
          </w:tcPr>
          <w:p w14:paraId="2DE637A9">
            <w:pPr>
              <w:pStyle w:val="style0"/>
              <w:rPr/>
            </w:pPr>
            <w:r>
              <w:t>585</w:t>
            </w:r>
          </w:p>
        </w:tc>
        <w:tc>
          <w:tcPr>
            <w:tcW w:w="2880" w:type="dxa"/>
            <w:tcBorders/>
          </w:tcPr>
          <w:p w14:paraId="CFB43933">
            <w:pPr>
              <w:pStyle w:val="style0"/>
              <w:rPr/>
            </w:pPr>
            <w:r>
              <w:t>83.21%</w:t>
            </w:r>
          </w:p>
        </w:tc>
      </w:tr>
      <w:tr w14:paraId="6EC23CB8">
        <w:tblPrEx/>
        <w:trPr>
          <w:jc w:val="center"/>
        </w:trPr>
        <w:tc>
          <w:tcPr>
            <w:tcW w:w="2880" w:type="dxa"/>
            <w:tcBorders/>
          </w:tcPr>
          <w:p w14:paraId="DE164592">
            <w:pPr>
              <w:pStyle w:val="style0"/>
              <w:rPr/>
            </w:pPr>
            <w:r>
              <w:t>Total evaluated</w:t>
            </w:r>
          </w:p>
        </w:tc>
        <w:tc>
          <w:tcPr>
            <w:tcW w:w="2880" w:type="dxa"/>
            <w:tcBorders/>
          </w:tcPr>
          <w:p w14:paraId="915C9995">
            <w:pPr>
              <w:pStyle w:val="style0"/>
              <w:rPr/>
            </w:pPr>
            <w:r>
              <w:t>703</w:t>
            </w:r>
          </w:p>
        </w:tc>
        <w:tc>
          <w:tcPr>
            <w:tcW w:w="2880" w:type="dxa"/>
            <w:tcBorders/>
          </w:tcPr>
          <w:p w14:paraId="81C6C065">
            <w:pPr>
              <w:pStyle w:val="style0"/>
              <w:rPr/>
            </w:pPr>
            <w:r>
              <w:t>100.00%</w:t>
            </w:r>
          </w:p>
        </w:tc>
      </w:tr>
    </w:tbl>
    <w:p w14:paraId="FDA3B5AD">
      <w:pPr>
        <w:pStyle w:val="style0"/>
        <w:rPr/>
      </w:pPr>
      <w:r>
        <w:t>The principal finding is that only 21 of the 703 processed entries (2.99%) contained the exact original tone-marked lexical form in the adapted response. A further 280 entries (39.83%) retained the lexical form when tone marking was disregarded, but did not reproduce the original tone-marked form exactly. In 402 entries (57.18%), the original lexical form was not detected.</w:t>
      </w:r>
    </w:p>
    <w:p w14:paraId="01D27691">
      <w:pPr>
        <w:pStyle w:val="style0"/>
        <w:rPr/>
      </w:pPr>
      <w:r>
        <w:t>The 585-row figure (83.21%) should not be interpreted as an 83.21% tone-preservation rate. It only records whether tone-marked characters occurred somewhere in the generated response, which could include explanatory text or alternative lexical forms.</w:t>
      </w:r>
    </w:p>
    <w:p w14:paraId="20F81FEE">
      <w:pPr>
        <w:pStyle w:val="style1"/>
        <w:rPr/>
      </w:pPr>
      <w:r>
        <w:t>6. Raw vs Adapted Observations</w:t>
      </w:r>
    </w:p>
    <w:tbl>
      <w:tblPr>
        <w:tblStyle w:val="style154"/>
        <w:tblW w:w="0" w:type="auto"/>
        <w:tblLook w:val="04A0" w:firstRow="1" w:lastRow="0" w:firstColumn="1" w:lastColumn="0" w:noHBand="0" w:noVBand="1"/>
      </w:tblPr>
      <w:tblGrid>
        <w:gridCol w:w="2880"/>
        <w:gridCol w:w="2880"/>
        <w:gridCol w:w="2880"/>
      </w:tblGrid>
      <w:tr w14:paraId="82B9D6B1">
        <w:trPr/>
        <w:tc>
          <w:tcPr>
            <w:tcW w:w="2880" w:type="dxa"/>
            <w:tcBorders/>
          </w:tcPr>
          <w:p w14:paraId="59EA6110">
            <w:pPr>
              <w:pStyle w:val="style0"/>
              <w:rPr/>
            </w:pPr>
            <w:r>
              <w:t>Item</w:t>
            </w:r>
          </w:p>
        </w:tc>
        <w:tc>
          <w:tcPr>
            <w:tcW w:w="2880" w:type="dxa"/>
            <w:tcBorders/>
          </w:tcPr>
          <w:p w14:paraId="552B5817">
            <w:pPr>
              <w:pStyle w:val="style0"/>
              <w:rPr/>
            </w:pPr>
            <w:r>
              <w:t>Original</w:t>
            </w:r>
          </w:p>
        </w:tc>
        <w:tc>
          <w:tcPr>
            <w:tcW w:w="2880" w:type="dxa"/>
            <w:tcBorders/>
          </w:tcPr>
          <w:p w14:paraId="2111A237">
            <w:pPr>
              <w:pStyle w:val="style0"/>
              <w:rPr/>
            </w:pPr>
            <w:r>
              <w:t>Observed adaptation</w:t>
            </w:r>
          </w:p>
        </w:tc>
      </w:tr>
      <w:tr w14:paraId="02FE3601">
        <w:tblPrEx/>
        <w:trPr/>
        <w:tc>
          <w:tcPr>
            <w:tcW w:w="2880" w:type="dxa"/>
            <w:tcBorders/>
          </w:tcPr>
          <w:p w14:paraId="F05946E9">
            <w:pPr>
              <w:pStyle w:val="style0"/>
              <w:rPr/>
            </w:pPr>
            <w:r>
              <w:t>Bread</w:t>
            </w:r>
          </w:p>
        </w:tc>
        <w:tc>
          <w:tcPr>
            <w:tcW w:w="2880" w:type="dxa"/>
            <w:tcBorders/>
          </w:tcPr>
          <w:p w14:paraId="76F9FCDB">
            <w:pPr>
              <w:pStyle w:val="style0"/>
              <w:rPr/>
            </w:pPr>
            <w:r>
              <w:t>Raw: àchị̀chà</w:t>
            </w:r>
          </w:p>
        </w:tc>
        <w:tc>
          <w:tcPr>
            <w:tcW w:w="2880" w:type="dxa"/>
            <w:tcBorders/>
          </w:tcPr>
          <w:p w14:paraId="A6301FD5">
            <w:pPr>
              <w:pStyle w:val="style0"/>
              <w:rPr/>
            </w:pPr>
            <w:r>
              <w:t>Adapted response centres on achịcha and discusses tonal/orthographic alternatives.</w:t>
            </w:r>
          </w:p>
        </w:tc>
      </w:tr>
      <w:tr w14:paraId="D6B61BD6">
        <w:tblPrEx/>
        <w:trPr/>
        <w:tc>
          <w:tcPr>
            <w:tcW w:w="2880" w:type="dxa"/>
            <w:tcBorders/>
          </w:tcPr>
          <w:p w14:paraId="D6E51F02">
            <w:pPr>
              <w:pStyle w:val="style0"/>
              <w:rPr/>
            </w:pPr>
            <w:r>
              <w:t>Chicken</w:t>
            </w:r>
          </w:p>
        </w:tc>
        <w:tc>
          <w:tcPr>
            <w:tcW w:w="2880" w:type="dxa"/>
            <w:tcBorders/>
          </w:tcPr>
          <w:p w14:paraId="E8BD09D9">
            <w:pPr>
              <w:pStyle w:val="style0"/>
              <w:rPr/>
            </w:pPr>
            <w:r>
              <w:t>Raw: ọ̀kụ́kọ̀</w:t>
            </w:r>
          </w:p>
        </w:tc>
        <w:tc>
          <w:tcPr>
            <w:tcW w:w="2880" w:type="dxa"/>
            <w:tcBorders/>
          </w:tcPr>
          <w:p w14:paraId="25185D27">
            <w:pPr>
              <w:pStyle w:val="style0"/>
              <w:rPr/>
            </w:pPr>
            <w:r>
              <w:t>Adapted response gives ọkụkọ and discusses tonal representation rather than simply preserving the supplied form.</w:t>
            </w:r>
          </w:p>
        </w:tc>
      </w:tr>
      <w:tr w14:paraId="FB6DD8E7">
        <w:tblPrEx/>
        <w:trPr/>
        <w:tc>
          <w:tcPr>
            <w:tcW w:w="2880" w:type="dxa"/>
            <w:tcBorders/>
          </w:tcPr>
          <w:p w14:paraId="A679B81E">
            <w:pPr>
              <w:pStyle w:val="style0"/>
              <w:rPr/>
            </w:pPr>
            <w:r>
              <w:t>Name</w:t>
            </w:r>
          </w:p>
        </w:tc>
        <w:tc>
          <w:tcPr>
            <w:tcW w:w="2880" w:type="dxa"/>
            <w:tcBorders/>
          </w:tcPr>
          <w:p w14:paraId="97C33CD6">
            <w:pPr>
              <w:pStyle w:val="style0"/>
              <w:rPr/>
            </w:pPr>
            <w:r>
              <w:t>Raw: áfà</w:t>
            </w:r>
          </w:p>
        </w:tc>
        <w:tc>
          <w:tcPr>
            <w:tcW w:w="2880" w:type="dxa"/>
            <w:tcBorders/>
          </w:tcPr>
          <w:p w14:paraId="42672978">
            <w:pPr>
              <w:pStyle w:val="style0"/>
              <w:rPr/>
            </w:pPr>
            <w:r>
              <w:t>Adapted response gives àhà, demonstrating lexical substitution rather than only a tonal change.</w:t>
            </w:r>
          </w:p>
        </w:tc>
      </w:tr>
      <w:tr w14:paraId="4C642290">
        <w:tblPrEx/>
        <w:trPr/>
        <w:tc>
          <w:tcPr>
            <w:tcW w:w="2880" w:type="dxa"/>
            <w:tcBorders/>
          </w:tcPr>
          <w:p w14:paraId="75C99E40">
            <w:pPr>
              <w:pStyle w:val="style0"/>
              <w:rPr/>
            </w:pPr>
            <w:r>
              <w:t>Harmattan</w:t>
            </w:r>
          </w:p>
        </w:tc>
        <w:tc>
          <w:tcPr>
            <w:tcW w:w="2880" w:type="dxa"/>
            <w:tcBorders/>
          </w:tcPr>
          <w:p w14:paraId="D896E6A6">
            <w:pPr>
              <w:pStyle w:val="style0"/>
              <w:rPr/>
            </w:pPr>
            <w:r>
              <w:t>Raw: ụ́gụ̀rụ̀</w:t>
            </w:r>
          </w:p>
        </w:tc>
        <w:tc>
          <w:tcPr>
            <w:tcW w:w="2880" w:type="dxa"/>
            <w:tcBorders/>
          </w:tcPr>
          <w:p w14:paraId="0C0ADDEB">
            <w:pPr>
              <w:pStyle w:val="style0"/>
              <w:rPr/>
            </w:pPr>
            <w:r>
              <w:t>An example in which the original tone-marked form is reproduced in the enhanced response.</w:t>
            </w:r>
          </w:p>
        </w:tc>
      </w:tr>
    </w:tbl>
    <w:p w14:paraId="12FB2ABD">
      <w:pPr>
        <w:pStyle w:val="style1"/>
        <w:rPr/>
      </w:pPr>
      <w:r>
        <w:t>7. Interpretation</w:t>
      </w:r>
    </w:p>
    <w:p w14:paraId="4D202CAA">
      <w:pPr>
        <w:pStyle w:val="style0"/>
        <w:rPr/>
      </w:pPr>
      <w:r>
        <w:t>The results indicate that Adaption Labs did not reliably preserve the explicit tonal representation of the input lexical dataset. The low exact-preservation rate suggests that the adaptation process frequently normalised, altered, omitted, or otherwise reformulated the explicit tone marking.</w:t>
      </w:r>
    </w:p>
    <w:p w14:paraId="7D2AFF78">
      <w:pPr>
        <w:pStyle w:val="style0"/>
        <w:rPr/>
      </w:pPr>
      <w:r>
        <w:t>At the same time, the 39.83% lexical-preservation-without-exact-tone group indicates that adaptation was not uniformly destructive to lexical identity. In many cases the underlying lexical form remained recognisable even when the original tonal specification was not retained exactly.</w:t>
      </w:r>
    </w:p>
    <w:p w14:paraId="DF1BC737">
      <w:pPr>
        <w:pStyle w:val="style0"/>
        <w:rPr/>
      </w:pPr>
      <w:r>
        <w:t>The generated explanatory prose is also a notable adaptation effect. Because the intended completion is a lexical item, long explanations can reduce dataset suitability for a narrowly defined lexical tone task even when the response discusses the correct word.</w:t>
      </w:r>
    </w:p>
    <w:p w14:paraId="23B786DF">
      <w:pPr>
        <w:pStyle w:val="style1"/>
        <w:rPr/>
      </w:pPr>
      <w:r>
        <w:t>8. Limitations</w:t>
      </w:r>
    </w:p>
    <w:p w14:paraId="7AC9A180">
      <w:pPr>
        <w:pStyle w:val="style48"/>
        <w:rPr/>
      </w:pPr>
      <w:r>
        <w:t>The prepared dataset was specified as 706 lexical items, but the exported Adaption output contained 703 processed rows. The quantitative results therefore describe the 703 exported rows only.</w:t>
      </w:r>
    </w:p>
    <w:p w14:paraId="807994EB">
      <w:pPr>
        <w:pStyle w:val="style48"/>
        <w:rPr/>
      </w:pPr>
      <w:r>
        <w:t>The strict exact-match metric measures explicit surface preservation; it does not by itself determine whether a different adapted form is linguistically acceptable in a particular Igbo dialect or orthographic convention.</w:t>
      </w:r>
    </w:p>
    <w:p w14:paraId="64DA72F0">
      <w:pPr>
        <w:pStyle w:val="style48"/>
        <w:rPr/>
      </w:pPr>
      <w:r>
        <w:t>Adaption responses may contain explanatory prose and alternative forms, making automated extraction and comparison less straightforward than a single-word completion task.</w:t>
      </w:r>
    </w:p>
    <w:p w14:paraId="53EC571B">
      <w:pPr>
        <w:pStyle w:val="style48"/>
        <w:rPr/>
      </w:pPr>
      <w:r>
        <w:t>The evaluation does not establish that every adapted output is linguistically incorrect; it establishes whether the original explicit form was preserved.</w:t>
      </w:r>
    </w:p>
    <w:p w14:paraId="AB3F0899">
      <w:pPr>
        <w:pStyle w:val="style1"/>
        <w:rPr/>
      </w:pPr>
      <w:r>
        <w:t>9. Conclusion</w:t>
      </w:r>
    </w:p>
    <w:p w14:paraId="C42951B3">
      <w:pPr>
        <w:pStyle w:val="style0"/>
        <w:rPr/>
      </w:pPr>
      <w:r>
        <w:t>The evaluation provides evidence that explicit tone information was not reliably preserved by the Adaption workflow for this tone-marked Igbo lexical dataset. Exact preservation of the original tone-marked lexical form occurred in 2.99% of the 703 processed entries, while 39.83% retained the underlying lexical form without exact tonal preservation. The findings therefore support the conclusion that adaptation produced substantial changes to the explicit tonal representation and that tone preservation should be evaluated separately from general lexical or textual quality.</w:t>
      </w:r>
    </w:p>
    <w:p w14:paraId="2B010E7C">
      <w:pPr>
        <w:pStyle w:val="styl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dadf8f3-e59a-4c97-b1ee-597e387a034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fc85e68-21ba-4fe9-93be-484b123ab36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0"/>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adb80e0-2eae-4a72-a8d1-5daed86e957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e892ca8-3ce6-4bb5-a45e-abc6b3ad077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5983d61-f8fa-4a68-bfce-4b0feee0cc0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322105d1-dbf9-4398-a4a8-cdfabc9151b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7c69215-b4db-46a2-840c-aea8bd3ba133"/>
    <w:basedOn w:val="style65"/>
    <w:next w:val="style4108"/>
    <w:link w:val="style180"/>
    <w:uiPriority w:val="29"/>
    <w:rPr>
      <w:i/>
      <w:iCs/>
      <w:color w:val="000000"/>
    </w:rPr>
  </w:style>
  <w:style w:type="character" w:customStyle="1" w:styleId="style4109">
    <w:name w:val="Heading 4 Char_416124a0-f951-418f-8b42-e524f823022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ce7a1af-d21b-4fd3-b9ea-e980c5bf4420"/>
    <w:basedOn w:val="style65"/>
    <w:next w:val="style4110"/>
    <w:link w:val="style5"/>
    <w:uiPriority w:val="9"/>
    <w:rPr>
      <w:rFonts w:ascii="Calibri" w:cs="宋体" w:eastAsia="ＭＳ ゴシック" w:hAnsi="Calibri"/>
      <w:color w:val="243f60"/>
    </w:rPr>
  </w:style>
  <w:style w:type="character" w:customStyle="1" w:styleId="style4111">
    <w:name w:val="Heading 6 Char_a7dcffc5-9652-4a9b-b245-72b9de7951db"/>
    <w:basedOn w:val="style65"/>
    <w:next w:val="style4111"/>
    <w:link w:val="style6"/>
    <w:uiPriority w:val="9"/>
    <w:rPr>
      <w:rFonts w:ascii="Calibri" w:cs="宋体" w:eastAsia="ＭＳ ゴシック" w:hAnsi="Calibri"/>
      <w:i/>
      <w:iCs/>
      <w:color w:val="243f60"/>
    </w:rPr>
  </w:style>
  <w:style w:type="character" w:customStyle="1" w:styleId="style4112">
    <w:name w:val="Heading 7 Char_ff7a0336-181a-49c8-b66c-da59fad60ab2"/>
    <w:basedOn w:val="style65"/>
    <w:next w:val="style4112"/>
    <w:link w:val="style7"/>
    <w:uiPriority w:val="9"/>
    <w:rPr>
      <w:rFonts w:ascii="Calibri" w:cs="宋体" w:eastAsia="ＭＳ ゴシック" w:hAnsi="Calibri"/>
      <w:i/>
      <w:iCs/>
      <w:color w:val="404040"/>
    </w:rPr>
  </w:style>
  <w:style w:type="character" w:customStyle="1" w:styleId="style4113">
    <w:name w:val="Heading 8 Char_5f5fd4e5-fd5f-4900-a113-4de83320665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4ce5b82-64b3-44d8-af5a-bde960c31dc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9b6f21a-1339-4fb5-8811-4a3c67bd7a7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888</Words>
  <Pages>1</Pages>
  <Characters>5424</Characters>
  <Application>WPS Office</Application>
  <DocSecurity>0</DocSecurity>
  <Paragraphs>105</Paragraphs>
  <ScaleCrop>false</ScaleCrop>
  <LinksUpToDate>false</LinksUpToDate>
  <CharactersWithSpaces>6227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25062RN2DA</lastModifiedBy>
  <dcterms:modified xsi:type="dcterms:W3CDTF">2026-08-15T19:23:06Z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e6ea10bdacde4627a9176e8c1f8fe992</vt:lpwstr>
  </property>
</Properties>
</file>