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52daaf62bd336c7c1b3cd912615020bfacc82c1"/>
    <w:p>
      <w:pPr>
        <w:pStyle w:val="Heading1"/>
      </w:pPr>
      <w:r>
        <w:t xml:space="preserve">Noise and Vibration Criteria for Construction Projects in New South Wales</w:t>
      </w:r>
      <w:hyperlink r:id="rId21">
        <w:r>
          <w:rPr>
            <w:rStyle w:val="Hyperlink"/>
          </w:rPr>
          <w:t xml:space="preserve">[1]</w:t>
        </w:r>
      </w:hyperlink>
      <w:r>
        <w:t xml:space="preserve">, Australia</w:t>
      </w:r>
      <w:hyperlink r:id="rId22">
        <w:r>
          <w:rPr>
            <w:rStyle w:val="Hyperlink"/>
          </w:rPr>
          <w:t xml:space="preserve">[2]</w:t>
        </w:r>
      </w:hyperlink>
    </w:p>
    <w:p>
      <w:pPr>
        <w:pStyle w:val="FirstParagraph"/>
      </w:pPr>
      <w:r>
        <w:t xml:space="preserve">This reference consolidates the main</w:t>
      </w:r>
      <w:r>
        <w:t xml:space="preserve"> </w:t>
      </w:r>
      <w:r>
        <w:rPr>
          <w:b/>
          <w:bCs/>
        </w:rPr>
        <w:t xml:space="preserve">legal mechanisms</w:t>
      </w:r>
      <w:r>
        <w:t xml:space="preserve">,</w:t>
      </w:r>
      <w:r>
        <w:t xml:space="preserve"> </w:t>
      </w:r>
      <w:r>
        <w:rPr>
          <w:b/>
          <w:bCs/>
        </w:rPr>
        <w:t xml:space="preserve">NSW-published guidance</w:t>
      </w:r>
      <w:r>
        <w:t xml:space="preserve">, and the</w:t>
      </w:r>
      <w:r>
        <w:t xml:space="preserve"> </w:t>
      </w:r>
      <w:r>
        <w:rPr>
          <w:b/>
          <w:bCs/>
        </w:rPr>
        <w:t xml:space="preserve">most commonly conditioned numeric criteria</w:t>
      </w:r>
      <w:r>
        <w:t xml:space="preserve"> </w:t>
      </w:r>
      <w:r>
        <w:t xml:space="preserve">used for construction noise and vibration control in NSW (current as at</w:t>
      </w:r>
      <w:r>
        <w:t xml:space="preserve"> </w:t>
      </w:r>
      <w:r>
        <w:rPr>
          <w:b/>
          <w:bCs/>
        </w:rPr>
        <w:t xml:space="preserve">10 April 2026</w:t>
      </w:r>
      <w:r>
        <w:t xml:space="preserve">). It is written for technical reporting and CNVMP/CEMP authoring, and explicitly distinguishes what is</w:t>
      </w:r>
      <w:r>
        <w:t xml:space="preserve"> </w:t>
      </w:r>
      <w:r>
        <w:rPr>
          <w:b/>
          <w:bCs/>
        </w:rPr>
        <w:t xml:space="preserve">legally enforceable</w:t>
      </w:r>
      <w:r>
        <w:t xml:space="preserve"> </w:t>
      </w:r>
      <w:r>
        <w:t xml:space="preserve">(by statute, notice, licence, or consent condition) versus</w:t>
      </w:r>
      <w:r>
        <w:t xml:space="preserve"> </w:t>
      </w:r>
      <w:r>
        <w:rPr>
          <w:b/>
          <w:bCs/>
        </w:rPr>
        <w:t xml:space="preserve">guidance-only</w:t>
      </w:r>
      <w:r>
        <w:t xml:space="preserve">.</w:t>
      </w:r>
    </w:p>
    <w:bookmarkStart w:id="33" w:name="X2369f362308cfe22d0ef169458b47bb510e7d59"/>
    <w:p>
      <w:pPr>
        <w:pStyle w:val="Heading2"/>
      </w:pPr>
      <w:r>
        <w:t xml:space="preserve">NSW legal and governance framework for construction noise and vibration</w:t>
      </w:r>
    </w:p>
    <w:bookmarkStart w:id="24" w:name="Xfe70d961339b4d304ce07df6f49f2b8c5ba1627"/>
    <w:p>
      <w:pPr>
        <w:pStyle w:val="Heading3"/>
      </w:pPr>
      <w:r>
        <w:t xml:space="preserve">Statutory definitions that matter in construction</w:t>
      </w:r>
    </w:p>
    <w:p>
      <w:pPr>
        <w:pStyle w:val="FirstParagraph"/>
      </w:pPr>
      <w:r>
        <w:t xml:space="preserve">In NSW, the key legal pivot is that</w:t>
      </w:r>
      <w:r>
        <w:t xml:space="preserve"> </w:t>
      </w:r>
      <w:r>
        <w:rPr>
          <w:b/>
          <w:bCs/>
        </w:rPr>
        <w:t xml:space="preserve">“noise” is defined to include both sound and vibration</w:t>
      </w:r>
      <w:r>
        <w:t xml:space="preserve"> </w:t>
      </w:r>
      <w:r>
        <w:t xml:space="preserve">in the Dictionary to the POEO Act.</w:t>
      </w:r>
      <w:r>
        <w:t xml:space="preserve"> </w:t>
      </w:r>
      <w:hyperlink r:id="rId23">
        <w:r>
          <w:rPr>
            <w:rStyle w:val="Hyperlink"/>
          </w:rPr>
          <w:t xml:space="preserve">[3]</w:t>
        </w:r>
      </w:hyperlink>
      <w:r>
        <w:t xml:space="preserve"> </w:t>
      </w:r>
      <w:r>
        <w:t xml:space="preserve">This matters because most “vibration complaints” during construction are handled using the</w:t>
      </w:r>
      <w:r>
        <w:t xml:space="preserve"> </w:t>
      </w:r>
      <w:r>
        <w:rPr>
          <w:b/>
          <w:bCs/>
        </w:rPr>
        <w:t xml:space="preserve">noise</w:t>
      </w:r>
      <w:r>
        <w:t xml:space="preserve"> </w:t>
      </w:r>
      <w:r>
        <w:t xml:space="preserve">regulatory tools in the POEO Act (even where the community describes the impact as vibration/rattling).</w:t>
      </w:r>
    </w:p>
    <w:p>
      <w:pPr>
        <w:pStyle w:val="BodyText"/>
      </w:pPr>
      <w:r>
        <w:t xml:space="preserve">The same Dictionary defines</w:t>
      </w:r>
      <w:r>
        <w:t xml:space="preserve"> </w:t>
      </w:r>
      <w:r>
        <w:rPr>
          <w:b/>
          <w:bCs/>
        </w:rPr>
        <w:t xml:space="preserve">“offensive noise”</w:t>
      </w:r>
      <w:r>
        <w:t xml:space="preserve"> </w:t>
      </w:r>
      <w:r>
        <w:t xml:space="preserve">(covering both sound and vibration) in terms of level/character/timing and whether it harms or unreasonably interferes with comfort or repose outside the emitting premises.</w:t>
      </w:r>
      <w:r>
        <w:t xml:space="preserve"> </w:t>
      </w:r>
      <w:hyperlink r:id="rId23">
        <w:r>
          <w:rPr>
            <w:rStyle w:val="Hyperlink"/>
          </w:rPr>
          <w:t xml:space="preserve">[3]</w:t>
        </w:r>
      </w:hyperlink>
    </w:p>
    <w:p>
      <w:pPr>
        <w:pStyle w:val="BodyText"/>
      </w:pPr>
      <w:r>
        <w:t xml:space="preserve">The Dictionary also defines</w:t>
      </w:r>
      <w:r>
        <w:t xml:space="preserve"> </w:t>
      </w:r>
      <w:r>
        <w:rPr>
          <w:b/>
          <w:bCs/>
        </w:rPr>
        <w:t xml:space="preserve">“noise pollution”</w:t>
      </w:r>
      <w:r>
        <w:t xml:space="preserve"> </w:t>
      </w:r>
      <w:r>
        <w:t xml:space="preserve">as the emission of offensive noise, and includes noise pollution within the Act’s definition of “pollution”.</w:t>
      </w:r>
      <w:r>
        <w:t xml:space="preserve"> </w:t>
      </w:r>
      <w:hyperlink r:id="rId23">
        <w:r>
          <w:rPr>
            <w:rStyle w:val="Hyperlink"/>
          </w:rPr>
          <w:t xml:space="preserve">[3]</w:t>
        </w:r>
      </w:hyperlink>
      <w:r>
        <w:t xml:space="preserve"> </w:t>
      </w:r>
      <w:r>
        <w:t xml:space="preserve">However, critically for construction incident-response workflows, the Dictionary definition of</w:t>
      </w:r>
      <w:r>
        <w:t xml:space="preserve"> </w:t>
      </w:r>
      <w:r>
        <w:rPr>
          <w:b/>
          <w:bCs/>
        </w:rPr>
        <w:t xml:space="preserve">“pollution incident” explicitly excludes incidents involving only the emission of noise</w:t>
      </w:r>
      <w:r>
        <w:t xml:space="preserve">, which affects when pollution incident notification frameworks apply.</w:t>
      </w:r>
      <w:r>
        <w:t xml:space="preserve"> </w:t>
      </w:r>
      <w:hyperlink r:id="rId23">
        <w:r>
          <w:rPr>
            <w:rStyle w:val="Hyperlink"/>
          </w:rPr>
          <w:t xml:space="preserve">[3]</w:t>
        </w:r>
      </w:hyperlink>
    </w:p>
    <w:bookmarkEnd w:id="24"/>
    <w:bookmarkStart w:id="29" w:name="Xf519bfe7ed8d362014a23b6aeb9b8fe966df364"/>
    <w:p>
      <w:pPr>
        <w:pStyle w:val="Heading3"/>
      </w:pPr>
      <w:r>
        <w:t xml:space="preserve">Primary POEO Act compliance tools used for construction noise and vibration complaints</w:t>
      </w:r>
    </w:p>
    <w:p>
      <w:pPr>
        <w:pStyle w:val="FirstParagraph"/>
      </w:pPr>
      <w:r>
        <w:t xml:space="preserve">The POEO Act does not set a single statewide numeric dB or mm/s limit for all construction sites. Instead, construction control is generally achieved via:</w:t>
      </w:r>
      <w:r>
        <w:br/>
      </w:r>
      <w:r>
        <w:t xml:space="preserve">-</w:t>
      </w:r>
      <w:r>
        <w:t xml:space="preserve"> </w:t>
      </w:r>
      <w:r>
        <w:rPr>
          <w:b/>
          <w:bCs/>
        </w:rPr>
        <w:t xml:space="preserve">approval instruments</w:t>
      </w:r>
      <w:r>
        <w:t xml:space="preserve"> </w:t>
      </w:r>
      <w:r>
        <w:t xml:space="preserve">(development consents / SSD conditions / infrastructure approvals), and</w:t>
      </w:r>
      <w:r>
        <w:br/>
      </w:r>
      <w:r>
        <w:t xml:space="preserve">-</w:t>
      </w:r>
      <w:r>
        <w:t xml:space="preserve"> </w:t>
      </w:r>
      <w:r>
        <w:rPr>
          <w:b/>
          <w:bCs/>
        </w:rPr>
        <w:t xml:space="preserve">EPA/council/police enforcement tools</w:t>
      </w:r>
      <w:r>
        <w:t xml:space="preserve"> </w:t>
      </w:r>
      <w:r>
        <w:t xml:space="preserve">responding to offensive noise (including vibration).</w:t>
      </w:r>
    </w:p>
    <w:p>
      <w:pPr>
        <w:pStyle w:val="BodyText"/>
      </w:pPr>
      <w:r>
        <w:t xml:space="preserve">Key tools and where they fit: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Mechanism</w:t>
            </w:r>
          </w:p>
        </w:tc>
        <w:tc>
          <w:tcPr/>
          <w:p>
            <w:pPr>
              <w:pStyle w:val="Compact"/>
            </w:pPr>
            <w:r>
              <w:t xml:space="preserve">What it does in practice for construction</w:t>
            </w:r>
          </w:p>
        </w:tc>
        <w:tc>
          <w:tcPr/>
          <w:p>
            <w:pPr>
              <w:pStyle w:val="Compact"/>
            </w:pPr>
            <w:r>
              <w:t xml:space="preserve">Typical construction relevance</w:t>
            </w:r>
          </w:p>
        </w:tc>
        <w:tc>
          <w:tcPr/>
          <w:p>
            <w:pPr>
              <w:pStyle w:val="Compact"/>
            </w:pPr>
            <w:r>
              <w:t xml:space="preserve">Enforceable?</w:t>
            </w:r>
          </w:p>
        </w:tc>
        <w:tc>
          <w:tcPr/>
          <w:p>
            <w:pPr>
              <w:pStyle w:val="Compact"/>
            </w:pPr>
            <w:r>
              <w:t xml:space="preserve">Source</w:t>
            </w:r>
          </w:p>
        </w:tc>
      </w:tr>
      <w:tr>
        <w:tc>
          <w:tcPr/>
          <w:p>
            <w:pPr>
              <w:pStyle w:val="Compact"/>
            </w:pPr>
            <w:r>
              <w:rPr>
                <w:b/>
                <w:bCs/>
              </w:rPr>
              <w:t xml:space="preserve">Prevention notice (s 96)</w:t>
            </w:r>
          </w:p>
        </w:tc>
        <w:tc>
          <w:tcPr/>
          <w:p>
            <w:pPr>
              <w:pStyle w:val="Compact"/>
            </w:pPr>
            <w:r>
              <w:t xml:space="preserve">Directions to prevent, control, abate or minimise pollution where the regulator reasonably suspects an activity is carried on in an “environmentally unsatisfactory manner” (can include offensive noise). May require reports.</w:t>
            </w:r>
          </w:p>
        </w:tc>
        <w:tc>
          <w:tcPr/>
          <w:p>
            <w:pPr>
              <w:pStyle w:val="Compact"/>
            </w:pPr>
            <w:r>
              <w:t xml:space="preserve">Used for</w:t>
            </w:r>
            <w:r>
              <w:t xml:space="preserve"> </w:t>
            </w:r>
            <w:r>
              <w:rPr>
                <w:b/>
                <w:bCs/>
              </w:rPr>
              <w:t xml:space="preserve">ongoing/recurring</w:t>
            </w:r>
            <w:r>
              <w:t xml:space="preserve"> </w:t>
            </w:r>
            <w:r>
              <w:t xml:space="preserve">construction noise/vibration issues where the regulator needs specific actions (monitoring, mitigation, management plan steps).</w:t>
            </w:r>
          </w:p>
        </w:tc>
        <w:tc>
          <w:tcPr/>
          <w:p>
            <w:pPr>
              <w:pStyle w:val="Compact"/>
            </w:pPr>
            <w:r>
              <w:t xml:space="preserve">Yes (offence to not comply) when issued</w:t>
            </w:r>
          </w:p>
        </w:tc>
        <w:tc>
          <w:tcPr/>
          <w:p>
            <w:pPr>
              <w:pStyle w:val="Compact"/>
            </w:pPr>
            <w:hyperlink r:id="rId25">
              <w:r>
                <w:rPr>
                  <w:rStyle w:val="Hyperlink"/>
                </w:rPr>
                <w:t xml:space="preserve">[4]</w:t>
              </w:r>
            </w:hyperlink>
          </w:p>
        </w:tc>
      </w:tr>
      <w:tr>
        <w:tc>
          <w:tcPr/>
          <w:p>
            <w:pPr>
              <w:pStyle w:val="Compact"/>
            </w:pPr>
            <w:r>
              <w:rPr>
                <w:b/>
                <w:bCs/>
              </w:rPr>
              <w:t xml:space="preserve">Noise control notice (s 264)</w:t>
            </w:r>
          </w:p>
        </w:tc>
        <w:tc>
          <w:tcPr/>
          <w:p>
            <w:pPr>
              <w:pStyle w:val="Compact"/>
            </w:pPr>
            <w:r>
              <w:t xml:space="preserve">Sets an acceptable noise level for specified activity/equipment at a measurement point and can specify times the limit applies.</w:t>
            </w:r>
          </w:p>
        </w:tc>
        <w:tc>
          <w:tcPr/>
          <w:p>
            <w:pPr>
              <w:pStyle w:val="Compact"/>
            </w:pPr>
            <w:r>
              <w:t xml:space="preserve">More common for</w:t>
            </w:r>
            <w:r>
              <w:t xml:space="preserve"> </w:t>
            </w:r>
            <w:r>
              <w:rPr>
                <w:b/>
                <w:bCs/>
              </w:rPr>
              <w:t xml:space="preserve">specific plant/items</w:t>
            </w:r>
            <w:r>
              <w:t xml:space="preserve">; can apply to construction plant where councils elect to use it.</w:t>
            </w:r>
          </w:p>
        </w:tc>
        <w:tc>
          <w:tcPr/>
          <w:p>
            <w:pPr>
              <w:pStyle w:val="Compact"/>
            </w:pPr>
            <w:r>
              <w:t xml:space="preserve">Yes (offence to not comply) when issued</w:t>
            </w:r>
          </w:p>
        </w:tc>
        <w:tc>
          <w:tcPr/>
          <w:p>
            <w:pPr>
              <w:pStyle w:val="Compact"/>
            </w:pPr>
            <w:hyperlink r:id="rId26">
              <w:r>
                <w:rPr>
                  <w:rStyle w:val="Hyperlink"/>
                </w:rPr>
                <w:t xml:space="preserve">[5]</w:t>
              </w:r>
            </w:hyperlink>
          </w:p>
        </w:tc>
      </w:tr>
      <w:tr>
        <w:tc>
          <w:tcPr/>
          <w:p>
            <w:pPr>
              <w:pStyle w:val="Compact"/>
            </w:pPr>
            <w:r>
              <w:rPr>
                <w:b/>
                <w:bCs/>
              </w:rPr>
              <w:t xml:space="preserve">Noise abatement direction (s 276)</w:t>
            </w:r>
          </w:p>
        </w:tc>
        <w:tc>
          <w:tcPr/>
          <w:p>
            <w:pPr>
              <w:pStyle w:val="Compact"/>
            </w:pPr>
            <w:r>
              <w:t xml:space="preserve">Short-form direction to stop making (or contributing to) offensive noise, issued by an authorised person when offensive noise is occurring/recent.</w:t>
            </w:r>
          </w:p>
        </w:tc>
        <w:tc>
          <w:tcPr/>
          <w:p>
            <w:pPr>
              <w:pStyle w:val="Compact"/>
            </w:pPr>
            <w:r>
              <w:t xml:space="preserve">Used for</w:t>
            </w:r>
            <w:r>
              <w:t xml:space="preserve"> </w:t>
            </w:r>
            <w:r>
              <w:rPr>
                <w:b/>
                <w:bCs/>
              </w:rPr>
              <w:t xml:space="preserve">immediate incident</w:t>
            </w:r>
            <w:r>
              <w:t xml:space="preserve"> </w:t>
            </w:r>
            <w:r>
              <w:t xml:space="preserve">control (often police or council authorised officers).</w:t>
            </w:r>
          </w:p>
        </w:tc>
        <w:tc>
          <w:tcPr/>
          <w:p>
            <w:pPr>
              <w:pStyle w:val="Compact"/>
            </w:pPr>
            <w:r>
              <w:t xml:space="preserve">Yes (offence to contravene; generally quick control tool)</w:t>
            </w:r>
          </w:p>
        </w:tc>
        <w:tc>
          <w:tcPr/>
          <w:p>
            <w:pPr>
              <w:pStyle w:val="Compact"/>
            </w:pPr>
            <w:hyperlink r:id="rId27">
              <w:r>
                <w:rPr>
                  <w:rStyle w:val="Hyperlink"/>
                </w:rPr>
                <w:t xml:space="preserve">[6]</w:t>
              </w:r>
            </w:hyperlink>
          </w:p>
        </w:tc>
      </w:tr>
      <w:tr>
        <w:tc>
          <w:tcPr/>
          <w:p>
            <w:pPr>
              <w:pStyle w:val="Compact"/>
            </w:pPr>
            <w:r>
              <w:rPr>
                <w:b/>
                <w:bCs/>
              </w:rPr>
              <w:t xml:space="preserve">Noise abatement order process (s 268 etc.)</w:t>
            </w:r>
          </w:p>
        </w:tc>
        <w:tc>
          <w:tcPr/>
          <w:p>
            <w:pPr>
              <w:pStyle w:val="Compact"/>
            </w:pPr>
            <w:r>
              <w:t xml:space="preserve">Court-based order to stop/prevent offensive noise (used by affected persons).</w:t>
            </w:r>
          </w:p>
        </w:tc>
        <w:tc>
          <w:tcPr/>
          <w:p>
            <w:pPr>
              <w:pStyle w:val="Compact"/>
            </w:pPr>
            <w:r>
              <w:t xml:space="preserve">Less common for construction projects, but relevant for chronic disputes.</w:t>
            </w:r>
          </w:p>
        </w:tc>
        <w:tc>
          <w:tcPr/>
          <w:p>
            <w:pPr>
              <w:pStyle w:val="Compact"/>
            </w:pPr>
            <w:r>
              <w:t xml:space="preserve">Yes (court order)</w:t>
            </w:r>
          </w:p>
        </w:tc>
        <w:tc>
          <w:tcPr/>
          <w:p>
            <w:pPr>
              <w:pStyle w:val="Compact"/>
            </w:pPr>
            <w:hyperlink r:id="rId28">
              <w:r>
                <w:rPr>
                  <w:rStyle w:val="Hyperlink"/>
                </w:rPr>
                <w:t xml:space="preserve">[7]</w:t>
              </w:r>
            </w:hyperlink>
          </w:p>
        </w:tc>
      </w:tr>
    </w:tbl>
    <w:bookmarkEnd w:id="29"/>
    <w:bookmarkStart w:id="32" w:name="X7afce44ee746db80be8bd9913f096ecbc292435"/>
    <w:p>
      <w:pPr>
        <w:pStyle w:val="Heading3"/>
      </w:pPr>
      <w:r>
        <w:t xml:space="preserve">Planning system governance: why “guidelines” become enforceable</w:t>
      </w:r>
    </w:p>
    <w:p>
      <w:pPr>
        <w:pStyle w:val="FirstParagraph"/>
      </w:pPr>
      <w:r>
        <w:t xml:space="preserve">Most construction noise/vibration numeric requirements in NSW are</w:t>
      </w:r>
      <w:r>
        <w:t xml:space="preserve"> </w:t>
      </w:r>
      <w:r>
        <w:rPr>
          <w:b/>
          <w:bCs/>
        </w:rPr>
        <w:t xml:space="preserve">not self-executing law</w:t>
      </w:r>
      <w:r>
        <w:t xml:space="preserve">; they become legally enforceable when they are incorporated into:</w:t>
      </w:r>
      <w:r>
        <w:br/>
      </w:r>
      <w:r>
        <w:t xml:space="preserve">- a</w:t>
      </w:r>
      <w:r>
        <w:t xml:space="preserve"> </w:t>
      </w:r>
      <w:r>
        <w:rPr>
          <w:b/>
          <w:bCs/>
        </w:rPr>
        <w:t xml:space="preserve">development consent / conditions of approval</w:t>
      </w:r>
      <w:r>
        <w:t xml:space="preserve">,</w:t>
      </w:r>
      <w:r>
        <w:br/>
      </w:r>
      <w:r>
        <w:t xml:space="preserve">- an</w:t>
      </w:r>
      <w:r>
        <w:t xml:space="preserve"> </w:t>
      </w:r>
      <w:r>
        <w:rPr>
          <w:b/>
          <w:bCs/>
        </w:rPr>
        <w:t xml:space="preserve">infrastructure approval</w:t>
      </w:r>
      <w:r>
        <w:t xml:space="preserve">, or</w:t>
      </w:r>
      <w:r>
        <w:br/>
      </w:r>
      <w:r>
        <w:t xml:space="preserve">- an</w:t>
      </w:r>
      <w:r>
        <w:t xml:space="preserve"> </w:t>
      </w:r>
      <w:r>
        <w:rPr>
          <w:b/>
          <w:bCs/>
        </w:rPr>
        <w:t xml:space="preserve">environment protection licence</w:t>
      </w:r>
      <w:r>
        <w:t xml:space="preserve"> </w:t>
      </w:r>
      <w:r>
        <w:t xml:space="preserve">(EPL) condition.</w:t>
      </w:r>
    </w:p>
    <w:p>
      <w:pPr>
        <w:pStyle w:val="BodyText"/>
      </w:pPr>
      <w:r>
        <w:t xml:space="preserve">A typical example (SSD consent) explicitly requires construction to be undertaken in accordance with the ICNG noise management levels, and separately conditions vibration limits by reference to DIN 4150-3 and the NSW “Assessing Vibration” guideline.</w:t>
      </w:r>
      <w:r>
        <w:t xml:space="preserve"> </w:t>
      </w:r>
      <w:hyperlink r:id="rId30">
        <w:r>
          <w:rPr>
            <w:rStyle w:val="Hyperlink"/>
          </w:rPr>
          <w:t xml:space="preserve">[8]</w:t>
        </w:r>
      </w:hyperlink>
    </w:p>
    <w:p>
      <w:pPr>
        <w:pStyle w:val="BodyText"/>
      </w:pPr>
      <w:r>
        <w:t xml:space="preserve">The planning authority’s public noise/vibration guidance in NSW identifies the</w:t>
      </w:r>
      <w:r>
        <w:t xml:space="preserve"> </w:t>
      </w:r>
      <w:r>
        <w:rPr>
          <w:b/>
          <w:bCs/>
        </w:rPr>
        <w:t xml:space="preserve">ICNG</w:t>
      </w:r>
      <w:r>
        <w:t xml:space="preserve"> </w:t>
      </w:r>
      <w:r>
        <w:t xml:space="preserve">and the draft construction guideline as the key NSW EPA references used in assessments and conditions.</w:t>
      </w:r>
      <w:r>
        <w:t xml:space="preserve"> </w:t>
      </w:r>
      <w:hyperlink r:id="rId31">
        <w:r>
          <w:rPr>
            <w:rStyle w:val="Hyperlink"/>
          </w:rPr>
          <w:t xml:space="preserve">[9]</w:t>
        </w:r>
      </w:hyperlink>
    </w:p>
    <w:bookmarkEnd w:id="32"/>
    <w:bookmarkEnd w:id="33"/>
    <w:bookmarkStart w:id="46" w:name="X9120bd320c0973878cc4c252626a40101e9ec6b"/>
    <w:p>
      <w:pPr>
        <w:pStyle w:val="Heading2"/>
      </w:pPr>
      <w:r>
        <w:t xml:space="preserve">Construction noise criteria and assessment practice in NSW</w:t>
      </w:r>
    </w:p>
    <w:bookmarkStart w:id="35" w:name="Xd22bb5ceaa3034bbbf9fb39be96531b3464f099"/>
    <w:p>
      <w:pPr>
        <w:pStyle w:val="Heading3"/>
      </w:pPr>
      <w:r>
        <w:t xml:space="preserve">Status of the “NSW EPA Construction Noise Guideline” as at April 2026</w:t>
      </w:r>
    </w:p>
    <w:p>
      <w:pPr>
        <w:pStyle w:val="FirstParagraph"/>
      </w:pPr>
      <w:r>
        <w:t xml:space="preserve">As at April 2026, the NSW EPA indicates that its</w:t>
      </w:r>
      <w:r>
        <w:t xml:space="preserve"> </w:t>
      </w:r>
      <w:r>
        <w:rPr>
          <w:b/>
          <w:bCs/>
        </w:rPr>
        <w:t xml:space="preserve">draft Construction Noise Guideline</w:t>
      </w:r>
      <w:r>
        <w:t xml:space="preserve"> </w:t>
      </w:r>
      <w:r>
        <w:t xml:space="preserve">consultation closed (April 2021) and the draft is</w:t>
      </w:r>
      <w:r>
        <w:t xml:space="preserve"> </w:t>
      </w:r>
      <w:r>
        <w:rPr>
          <w:b/>
          <w:bCs/>
        </w:rPr>
        <w:t xml:space="preserve">still under review</w:t>
      </w:r>
      <w:r>
        <w:t xml:space="preserve">, while the</w:t>
      </w:r>
      <w:r>
        <w:t xml:space="preserve"> </w:t>
      </w:r>
      <w:r>
        <w:rPr>
          <w:b/>
          <w:bCs/>
        </w:rPr>
        <w:t xml:space="preserve">Interim Construction Noise Guideline (ICNG)</w:t>
      </w:r>
      <w:r>
        <w:t xml:space="preserve"> </w:t>
      </w:r>
      <w:r>
        <w:t xml:space="preserve">remains the practical baseline for many consents.</w:t>
      </w:r>
      <w:r>
        <w:t xml:space="preserve"> </w:t>
      </w:r>
      <w:hyperlink r:id="rId31">
        <w:r>
          <w:rPr>
            <w:rStyle w:val="Hyperlink"/>
          </w:rPr>
          <w:t xml:space="preserve">[10]</w:t>
        </w:r>
      </w:hyperlink>
    </w:p>
    <w:p>
      <w:pPr>
        <w:pStyle w:val="BodyText"/>
      </w:pPr>
      <w:r>
        <w:t xml:space="preserve">This has two consequences for technical reporting platforms:</w:t>
      </w:r>
      <w:r>
        <w:t xml:space="preserve"> </w:t>
      </w:r>
      <w:r>
        <w:t xml:space="preserve">- Many NSW approvals and council conditions still reference</w:t>
      </w:r>
      <w:r>
        <w:t xml:space="preserve"> </w:t>
      </w:r>
      <w:r>
        <w:rPr>
          <w:b/>
          <w:bCs/>
        </w:rPr>
        <w:t xml:space="preserve">ICNG (2009)</w:t>
      </w:r>
      <w:r>
        <w:t xml:space="preserve"> </w:t>
      </w:r>
      <w:r>
        <w:t xml:space="preserve">by name.</w:t>
      </w:r>
      <w:r>
        <w:t xml:space="preserve"> </w:t>
      </w:r>
      <w:hyperlink r:id="rId30">
        <w:r>
          <w:rPr>
            <w:rStyle w:val="Hyperlink"/>
          </w:rPr>
          <w:t xml:space="preserve">[8]</w:t>
        </w:r>
      </w:hyperlink>
      <w:r>
        <w:br/>
      </w:r>
      <w:r>
        <w:t xml:space="preserve">- For forward-looking projects, the</w:t>
      </w:r>
      <w:r>
        <w:t xml:space="preserve"> </w:t>
      </w:r>
      <w:r>
        <w:rPr>
          <w:b/>
          <w:bCs/>
        </w:rPr>
        <w:t xml:space="preserve">draft</w:t>
      </w:r>
      <w:r>
        <w:t xml:space="preserve"> </w:t>
      </w:r>
      <w:r>
        <w:t xml:space="preserve">guideline is often used as a</w:t>
      </w:r>
      <w:r>
        <w:t xml:space="preserve"> </w:t>
      </w:r>
      <w:r>
        <w:rPr>
          <w:i/>
          <w:iCs/>
        </w:rPr>
        <w:t xml:space="preserve">policy signal</w:t>
      </w:r>
      <w:r>
        <w:t xml:space="preserve"> </w:t>
      </w:r>
      <w:r>
        <w:t xml:space="preserve">and for “best practice” discussion, but it is</w:t>
      </w:r>
      <w:r>
        <w:t xml:space="preserve"> </w:t>
      </w:r>
      <w:r>
        <w:rPr>
          <w:b/>
          <w:bCs/>
        </w:rPr>
        <w:t xml:space="preserve">guidance-only unless conditioned</w:t>
      </w:r>
      <w:r>
        <w:t xml:space="preserve">.</w:t>
      </w:r>
      <w:r>
        <w:t xml:space="preserve"> </w:t>
      </w:r>
      <w:hyperlink r:id="rId34">
        <w:r>
          <w:rPr>
            <w:rStyle w:val="Hyperlink"/>
          </w:rPr>
          <w:t xml:space="preserve">[11]</w:t>
        </w:r>
      </w:hyperlink>
    </w:p>
    <w:bookmarkEnd w:id="35"/>
    <w:bookmarkStart w:id="37" w:name="Xea6a1506a25b1b97d4dc4f211c8090bedb7b2d7"/>
    <w:p>
      <w:pPr>
        <w:pStyle w:val="Heading3"/>
      </w:pPr>
      <w:r>
        <w:t xml:space="preserve">Standard construction working hours in NSW guidance</w:t>
      </w:r>
    </w:p>
    <w:p>
      <w:pPr>
        <w:pStyle w:val="FirstParagraph"/>
      </w:pPr>
      <w:r>
        <w:t xml:space="preserve">The ICNG sets</w:t>
      </w:r>
      <w:r>
        <w:t xml:space="preserve"> </w:t>
      </w:r>
      <w:r>
        <w:rPr>
          <w:b/>
          <w:bCs/>
        </w:rPr>
        <w:t xml:space="preserve">recommended standard hours</w:t>
      </w:r>
      <w:r>
        <w:t xml:space="preserve"> </w:t>
      </w:r>
      <w:r>
        <w:t xml:space="preserve">(explicitly “not mandatory” in the guideline itself).</w:t>
      </w:r>
      <w:r>
        <w:t xml:space="preserve"> </w:t>
      </w:r>
      <w:hyperlink r:id="rId36">
        <w:r>
          <w:rPr>
            <w:rStyle w:val="Hyperlink"/>
          </w:rPr>
          <w:t xml:space="preserve">[12]</w:t>
        </w:r>
      </w:hyperlink>
      <w:r>
        <w:t xml:space="preserve"> </w:t>
      </w:r>
      <w:r>
        <w:t xml:space="preserve">The draft guideline retains essentially the same standard hours (and adds a “hierarchy of working hours” concept for when out-of-hours work is unavoidable).</w:t>
      </w:r>
      <w:r>
        <w:t xml:space="preserve"> </w:t>
      </w:r>
      <w:hyperlink r:id="rId34">
        <w:r>
          <w:rPr>
            <w:rStyle w:val="Hyperlink"/>
          </w:rPr>
          <w:t xml:space="preserve">[13]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 type</w:t>
            </w:r>
          </w:p>
        </w:tc>
        <w:tc>
          <w:tcPr/>
          <w:p>
            <w:pPr>
              <w:pStyle w:val="Compact"/>
            </w:pPr>
            <w:r>
              <w:t xml:space="preserve">ICNG recommended standard hours</w:t>
            </w:r>
          </w:p>
        </w:tc>
        <w:tc>
          <w:tcPr/>
          <w:p>
            <w:pPr>
              <w:pStyle w:val="Compact"/>
            </w:pPr>
            <w:r>
              <w:t xml:space="preserve">Draft guideline recommended standard hours</w:t>
            </w:r>
          </w:p>
        </w:tc>
        <w:tc>
          <w:tcPr/>
          <w:p>
            <w:pPr>
              <w:pStyle w:val="Compact"/>
            </w:pPr>
            <w:r>
              <w:t xml:space="preserve">Status note</w:t>
            </w:r>
          </w:p>
        </w:tc>
      </w:tr>
      <w:tr>
        <w:tc>
          <w:tcPr/>
          <w:p>
            <w:pPr>
              <w:pStyle w:val="Compact"/>
            </w:pPr>
            <w:r>
              <w:t xml:space="preserve">Normal construction</w:t>
            </w:r>
          </w:p>
        </w:tc>
        <w:tc>
          <w:tcPr/>
          <w:p>
            <w:pPr>
              <w:pStyle w:val="Compact"/>
            </w:pPr>
            <w:r>
              <w:t xml:space="preserve">Mon–Fri</w:t>
            </w:r>
            <w:r>
              <w:t xml:space="preserve"> </w:t>
            </w:r>
            <w:r>
              <w:rPr>
                <w:b/>
                <w:bCs/>
              </w:rPr>
              <w:t xml:space="preserve">7 am–6 pm</w:t>
            </w:r>
            <w:r>
              <w:t xml:space="preserve">; Sat</w:t>
            </w:r>
            <w:r>
              <w:t xml:space="preserve"> </w:t>
            </w:r>
            <w:r>
              <w:rPr>
                <w:b/>
                <w:bCs/>
              </w:rPr>
              <w:t xml:space="preserve">8 am–1 pm</w:t>
            </w:r>
            <w:r>
              <w:t xml:space="preserve">;</w:t>
            </w:r>
            <w:r>
              <w:t xml:space="preserve"> </w:t>
            </w:r>
            <w:r>
              <w:rPr>
                <w:b/>
                <w:bCs/>
              </w:rPr>
              <w:t xml:space="preserve">no work</w:t>
            </w:r>
            <w:r>
              <w:t xml:space="preserve"> </w:t>
            </w:r>
            <w:r>
              <w:t xml:space="preserve">Sun/PH</w:t>
            </w:r>
          </w:p>
        </w:tc>
        <w:tc>
          <w:tcPr/>
          <w:p>
            <w:pPr>
              <w:pStyle w:val="Compact"/>
            </w:pPr>
            <w:r>
              <w:t xml:space="preserve">Weekday</w:t>
            </w:r>
            <w:r>
              <w:t xml:space="preserve"> </w:t>
            </w:r>
            <w:r>
              <w:rPr>
                <w:b/>
                <w:bCs/>
              </w:rPr>
              <w:t xml:space="preserve">0700–1800</w:t>
            </w:r>
            <w:r>
              <w:t xml:space="preserve">; Sat</w:t>
            </w:r>
            <w:r>
              <w:t xml:space="preserve"> </w:t>
            </w:r>
            <w:r>
              <w:rPr>
                <w:b/>
                <w:bCs/>
              </w:rPr>
              <w:t xml:space="preserve">0800–1300</w:t>
            </w:r>
            <w:r>
              <w:t xml:space="preserve">;</w:t>
            </w:r>
            <w:r>
              <w:t xml:space="preserve"> </w:t>
            </w:r>
            <w:r>
              <w:rPr>
                <w:b/>
                <w:bCs/>
              </w:rPr>
              <w:t xml:space="preserve">no work</w:t>
            </w:r>
            <w:r>
              <w:t xml:space="preserve"> </w:t>
            </w:r>
            <w:r>
              <w:t xml:space="preserve">Sun/PH</w:t>
            </w:r>
          </w:p>
        </w:tc>
        <w:tc>
          <w:tcPr/>
          <w:p>
            <w:pPr>
              <w:pStyle w:val="Compact"/>
            </w:pPr>
            <w:r>
              <w:t xml:space="preserve">Guidance baseline; consents often enforce via conditions</w:t>
            </w:r>
          </w:p>
        </w:tc>
      </w:tr>
      <w:tr>
        <w:tc>
          <w:tcPr/>
          <w:p>
            <w:pPr>
              <w:pStyle w:val="Compact"/>
            </w:pPr>
            <w:r>
              <w:t xml:space="preserve">Blasting</w:t>
            </w:r>
          </w:p>
        </w:tc>
        <w:tc>
          <w:tcPr/>
          <w:p>
            <w:pPr>
              <w:pStyle w:val="Compact"/>
            </w:pPr>
            <w:r>
              <w:t xml:space="preserve">Mon–Fri</w:t>
            </w:r>
            <w:r>
              <w:t xml:space="preserve"> </w:t>
            </w:r>
            <w:r>
              <w:rPr>
                <w:b/>
                <w:bCs/>
              </w:rPr>
              <w:t xml:space="preserve">9 am–5 pm</w:t>
            </w:r>
            <w:r>
              <w:t xml:space="preserve">; Sat</w:t>
            </w:r>
            <w:r>
              <w:t xml:space="preserve"> </w:t>
            </w:r>
            <w:r>
              <w:rPr>
                <w:b/>
                <w:bCs/>
              </w:rPr>
              <w:t xml:space="preserve">9 am–1 pm</w:t>
            </w:r>
            <w:r>
              <w:t xml:space="preserve">;</w:t>
            </w:r>
            <w:r>
              <w:t xml:space="preserve"> </w:t>
            </w:r>
            <w:r>
              <w:rPr>
                <w:b/>
                <w:bCs/>
              </w:rPr>
              <w:t xml:space="preserve">no blasting</w:t>
            </w:r>
            <w:r>
              <w:t xml:space="preserve"> </w:t>
            </w:r>
            <w:r>
              <w:t xml:space="preserve">Sun/PH</w:t>
            </w:r>
          </w:p>
        </w:tc>
        <w:tc>
          <w:tcPr/>
          <w:p>
            <w:pPr>
              <w:pStyle w:val="Compact"/>
            </w:pPr>
            <w:r>
              <w:t xml:space="preserve">Weekday</w:t>
            </w:r>
            <w:r>
              <w:t xml:space="preserve"> </w:t>
            </w:r>
            <w:r>
              <w:rPr>
                <w:b/>
                <w:bCs/>
              </w:rPr>
              <w:t xml:space="preserve">0900–1700</w:t>
            </w:r>
            <w:r>
              <w:t xml:space="preserve">; Sat</w:t>
            </w:r>
            <w:r>
              <w:t xml:space="preserve"> </w:t>
            </w:r>
            <w:r>
              <w:rPr>
                <w:b/>
                <w:bCs/>
              </w:rPr>
              <w:t xml:space="preserve">0900–1300</w:t>
            </w:r>
            <w:r>
              <w:t xml:space="preserve">;</w:t>
            </w:r>
            <w:r>
              <w:t xml:space="preserve"> </w:t>
            </w:r>
            <w:r>
              <w:rPr>
                <w:b/>
                <w:bCs/>
              </w:rPr>
              <w:t xml:space="preserve">no blasting</w:t>
            </w:r>
            <w:r>
              <w:t xml:space="preserve"> </w:t>
            </w:r>
            <w:r>
              <w:t xml:space="preserve">Sun/PH</w:t>
            </w:r>
          </w:p>
        </w:tc>
        <w:tc>
          <w:tcPr/>
          <w:p>
            <w:pPr>
              <w:pStyle w:val="Compact"/>
            </w:pPr>
            <w:r>
              <w:t xml:space="preserve">Consent conditions commonly adopt or tighten</w:t>
            </w:r>
          </w:p>
        </w:tc>
      </w:tr>
    </w:tbl>
    <w:p>
      <w:pPr>
        <w:pStyle w:val="BodyText"/>
      </w:pPr>
      <w:hyperlink r:id="rId36">
        <w:r>
          <w:rPr>
            <w:rStyle w:val="Hyperlink"/>
          </w:rPr>
          <w:t xml:space="preserve">[14]</w:t>
        </w:r>
      </w:hyperlink>
    </w:p>
    <w:p>
      <w:pPr>
        <w:pStyle w:val="BodyText"/>
      </w:pPr>
      <w:r>
        <w:t xml:space="preserve">Councils may impose different hours (and often maintain separate “out of hours” approval processes). The City of Parramatta example publishes typical construction hours and an after-hours works policy framework (project-specific approval required).</w:t>
      </w:r>
    </w:p>
    <w:bookmarkEnd w:id="37"/>
    <w:bookmarkStart w:id="38" w:name="Xec0a6861d7a802cb9ec3ffb65e4a408dae262cb"/>
    <w:p>
      <w:pPr>
        <w:pStyle w:val="Heading3"/>
      </w:pPr>
      <w:r>
        <w:t xml:space="preserve">Airborne construction noise management levels for residences</w:t>
      </w:r>
    </w:p>
    <w:p>
      <w:pPr>
        <w:pStyle w:val="FirstParagraph"/>
      </w:pPr>
      <w:r>
        <w:t xml:space="preserve">NSW construction noise controls typically use</w:t>
      </w:r>
      <w:r>
        <w:t xml:space="preserve"> </w:t>
      </w:r>
      <w:r>
        <w:rPr>
          <w:b/>
          <w:bCs/>
        </w:rPr>
        <w:t xml:space="preserve">LAeq,15min</w:t>
      </w:r>
      <w:r>
        <w:t xml:space="preserve"> </w:t>
      </w:r>
      <w:r>
        <w:t xml:space="preserve">at</w:t>
      </w:r>
      <w:r>
        <w:t xml:space="preserve"> </w:t>
      </w:r>
      <w:r>
        <w:rPr>
          <w:b/>
          <w:bCs/>
        </w:rPr>
        <w:t xml:space="preserve">the most-exposed property boundary</w:t>
      </w:r>
      <w:r>
        <w:t xml:space="preserve"> </w:t>
      </w:r>
      <w:r>
        <w:t xml:space="preserve">(with location rules where the boundary is far from the dwelling), consistent with ICNG Table 2.</w:t>
      </w:r>
      <w:r>
        <w:t xml:space="preserve"> </w:t>
      </w:r>
      <w:hyperlink r:id="rId36">
        <w:r>
          <w:rPr>
            <w:rStyle w:val="Hyperlink"/>
          </w:rPr>
          <w:t xml:space="preserve">[15]</w:t>
        </w:r>
      </w:hyperlink>
    </w:p>
    <w:p>
      <w:pPr>
        <w:pStyle w:val="BodyText"/>
      </w:pPr>
      <w:r>
        <w:rPr>
          <w:b/>
          <w:bCs/>
        </w:rPr>
        <w:t xml:space="preserve">ICNG (current widely-conditioned baseline)</w:t>
      </w:r>
      <w:r>
        <w:t xml:space="preserve"> </w:t>
      </w:r>
      <w:r>
        <w:t xml:space="preserve">for residences:</w:t>
      </w:r>
      <w:r>
        <w:t xml:space="preserve"> </w:t>
      </w:r>
      <w:hyperlink r:id="rId36">
        <w:r>
          <w:rPr>
            <w:rStyle w:val="Hyperlink"/>
          </w:rPr>
          <w:t xml:space="preserve">[15]</w:t>
        </w:r>
      </w:hyperlink>
      <w:r>
        <w:br/>
      </w:r>
      <w:r>
        <w:t xml:space="preserve">-</w:t>
      </w:r>
      <w:r>
        <w:t xml:space="preserve"> </w:t>
      </w:r>
      <w:r>
        <w:rPr>
          <w:b/>
          <w:bCs/>
        </w:rPr>
        <w:t xml:space="preserve">During standard hours:</w:t>
      </w:r>
      <w:r>
        <w:br/>
      </w:r>
      <w:r>
        <w:t xml:space="preserve">-</w:t>
      </w:r>
      <w:r>
        <w:t xml:space="preserve"> </w:t>
      </w:r>
      <w:r>
        <w:rPr>
          <w:i/>
          <w:iCs/>
        </w:rPr>
        <w:t xml:space="preserve">Noise affected</w:t>
      </w:r>
      <w:r>
        <w:t xml:space="preserve"> </w:t>
      </w:r>
      <w:r>
        <w:t xml:space="preserve">management level:</w:t>
      </w:r>
      <w:r>
        <w:t xml:space="preserve"> </w:t>
      </w:r>
      <w:r>
        <w:rPr>
          <w:b/>
          <w:bCs/>
        </w:rPr>
        <w:t xml:space="preserve">RBL + 10 dB</w:t>
      </w:r>
      <w:r>
        <w:br/>
      </w:r>
      <w:r>
        <w:t xml:space="preserve">-</w:t>
      </w:r>
      <w:r>
        <w:t xml:space="preserve"> </w:t>
      </w:r>
      <w:r>
        <w:rPr>
          <w:i/>
          <w:iCs/>
        </w:rPr>
        <w:t xml:space="preserve">Highly noise affected</w:t>
      </w:r>
      <w:r>
        <w:t xml:space="preserve"> </w:t>
      </w:r>
      <w:r>
        <w:t xml:space="preserve">level:</w:t>
      </w:r>
      <w:r>
        <w:t xml:space="preserve"> </w:t>
      </w:r>
      <w:r>
        <w:rPr>
          <w:b/>
          <w:bCs/>
        </w:rPr>
        <w:t xml:space="preserve">75 dB(A)</w:t>
      </w:r>
      <w:r>
        <w:br/>
      </w:r>
      <w:r>
        <w:t xml:space="preserve">-</w:t>
      </w:r>
      <w:r>
        <w:t xml:space="preserve"> </w:t>
      </w:r>
      <w:r>
        <w:rPr>
          <w:b/>
          <w:bCs/>
        </w:rPr>
        <w:t xml:space="preserve">Outside standard hours:</w:t>
      </w:r>
      <w:r>
        <w:br/>
      </w:r>
      <w:r>
        <w:t xml:space="preserve">-</w:t>
      </w:r>
      <w:r>
        <w:t xml:space="preserve"> </w:t>
      </w:r>
      <w:r>
        <w:rPr>
          <w:i/>
          <w:iCs/>
        </w:rPr>
        <w:t xml:space="preserve">Noise affected</w:t>
      </w:r>
      <w:r>
        <w:t xml:space="preserve"> </w:t>
      </w:r>
      <w:r>
        <w:t xml:space="preserve">management level:</w:t>
      </w:r>
      <w:r>
        <w:t xml:space="preserve"> </w:t>
      </w:r>
      <w:r>
        <w:rPr>
          <w:b/>
          <w:bCs/>
        </w:rPr>
        <w:t xml:space="preserve">RBL + 5 dB</w:t>
      </w:r>
      <w:r>
        <w:t xml:space="preserve"> </w:t>
      </w:r>
      <w:r>
        <w:t xml:space="preserve">(strong justification required; if, after feasible and reasonable mitigation, noise is &gt;5 dB above this level, the proponent should negotiate with the community)</w:t>
      </w:r>
    </w:p>
    <w:p>
      <w:pPr>
        <w:pStyle w:val="BodyText"/>
      </w:pPr>
      <w:r>
        <w:rPr>
          <w:b/>
          <w:bCs/>
        </w:rPr>
        <w:t xml:space="preserve">Draft guideline (policy direction; not automatically enforceable)</w:t>
      </w:r>
      <w:r>
        <w:t xml:space="preserve"> </w:t>
      </w:r>
      <w:r>
        <w:t xml:space="preserve">retains:</w:t>
      </w:r>
      <w:r>
        <w:t xml:space="preserve"> </w:t>
      </w:r>
      <w:hyperlink r:id="rId34">
        <w:r>
          <w:rPr>
            <w:rStyle w:val="Hyperlink"/>
          </w:rPr>
          <w:t xml:space="preserve">[16]</w:t>
        </w:r>
      </w:hyperlink>
      <w:r>
        <w:br/>
      </w:r>
      <w:r>
        <w:t xml:space="preserve">-</w:t>
      </w:r>
      <w:r>
        <w:t xml:space="preserve"> </w:t>
      </w:r>
      <w:r>
        <w:rPr>
          <w:i/>
          <w:iCs/>
        </w:rPr>
        <w:t xml:space="preserve">Noise affected</w:t>
      </w:r>
      <w:r>
        <w:t xml:space="preserve"> </w:t>
      </w:r>
      <w:r>
        <w:t xml:space="preserve">(standard hours):</w:t>
      </w:r>
      <w:r>
        <w:t xml:space="preserve"> </w:t>
      </w:r>
      <w:r>
        <w:rPr>
          <w:b/>
          <w:bCs/>
        </w:rPr>
        <w:t xml:space="preserve">RBL + 10 dB</w:t>
      </w:r>
      <w:r>
        <w:br/>
      </w:r>
      <w:r>
        <w:t xml:space="preserve">-</w:t>
      </w:r>
      <w:r>
        <w:t xml:space="preserve"> </w:t>
      </w:r>
      <w:r>
        <w:rPr>
          <w:i/>
          <w:iCs/>
        </w:rPr>
        <w:t xml:space="preserve">Highly noise affected</w:t>
      </w:r>
      <w:r>
        <w:t xml:space="preserve"> </w:t>
      </w:r>
      <w:r>
        <w:t xml:space="preserve">(standard hours):</w:t>
      </w:r>
      <w:r>
        <w:t xml:space="preserve"> </w:t>
      </w:r>
      <w:r>
        <w:rPr>
          <w:b/>
          <w:bCs/>
        </w:rPr>
        <w:t xml:space="preserve">75 dB(A)</w:t>
      </w:r>
      <w:r>
        <w:br/>
      </w:r>
      <w:r>
        <w:t xml:space="preserve">-</w:t>
      </w:r>
      <w:r>
        <w:t xml:space="preserve"> </w:t>
      </w:r>
      <w:r>
        <w:rPr>
          <w:i/>
          <w:iCs/>
        </w:rPr>
        <w:t xml:space="preserve">Noise affected</w:t>
      </w:r>
      <w:r>
        <w:t xml:space="preserve"> </w:t>
      </w:r>
      <w:r>
        <w:t xml:space="preserve">(outside standard hours):</w:t>
      </w:r>
      <w:r>
        <w:t xml:space="preserve"> </w:t>
      </w:r>
      <w:r>
        <w:rPr>
          <w:b/>
          <w:bCs/>
        </w:rPr>
        <w:t xml:space="preserve">RBL + 5 dB</w:t>
      </w:r>
      <w:r>
        <w:br/>
      </w:r>
      <w:r>
        <w:t xml:space="preserve">-</w:t>
      </w:r>
      <w:r>
        <w:t xml:space="preserve"> </w:t>
      </w:r>
      <w:r>
        <w:rPr>
          <w:i/>
          <w:iCs/>
        </w:rPr>
        <w:t xml:space="preserve">Highly noise affected</w:t>
      </w:r>
      <w:r>
        <w:t xml:space="preserve"> </w:t>
      </w:r>
      <w:r>
        <w:t xml:space="preserve">(outside standard hours):</w:t>
      </w:r>
      <w:r>
        <w:t xml:space="preserve"> </w:t>
      </w:r>
      <w:r>
        <w:rPr>
          <w:b/>
          <w:bCs/>
        </w:rPr>
        <w:t xml:space="preserve">65 dB(A)</w:t>
      </w:r>
      <w:r>
        <w:t xml:space="preserve"> </w:t>
      </w:r>
      <w:r>
        <w:t xml:space="preserve">(threshold for considering supplementary mitigation beyond basic feasible and reasonable controls)</w:t>
      </w:r>
    </w:p>
    <w:p>
      <w:pPr>
        <w:pStyle w:val="BodyText"/>
      </w:pPr>
      <w:r>
        <w:t xml:space="preserve">A practical implication for reporting: some proponents and consent authorities now treat</w:t>
      </w:r>
      <w:r>
        <w:t xml:space="preserve"> </w:t>
      </w:r>
      <w:r>
        <w:rPr>
          <w:b/>
          <w:bCs/>
        </w:rPr>
        <w:t xml:space="preserve">65 dB(A) LAeq,15min out-of-hours</w:t>
      </w:r>
      <w:r>
        <w:t xml:space="preserve"> </w:t>
      </w:r>
      <w:r>
        <w:t xml:space="preserve">as a “high impact” trigger even when the consent still formally references ICNG only.</w:t>
      </w:r>
      <w:r>
        <w:t xml:space="preserve"> </w:t>
      </w:r>
      <w:hyperlink r:id="rId34">
        <w:r>
          <w:rPr>
            <w:rStyle w:val="Hyperlink"/>
          </w:rPr>
          <w:t xml:space="preserve">[17]</w:t>
        </w:r>
      </w:hyperlink>
    </w:p>
    <w:bookmarkEnd w:id="38"/>
    <w:bookmarkStart w:id="39" w:name="X8dc78417490f6c29c599947fc4d0794ce9bbee7"/>
    <w:p>
      <w:pPr>
        <w:pStyle w:val="Heading3"/>
      </w:pPr>
      <w:r>
        <w:t xml:space="preserve">Noise management levels for other sensitive land uses and business receivers</w:t>
      </w:r>
    </w:p>
    <w:p>
      <w:pPr>
        <w:pStyle w:val="FirstParagraph"/>
      </w:pPr>
      <w:r>
        <w:t xml:space="preserve">Both ICNG and the draft guideline provide fixed management levels for sensitive non-residential land uses “when in use” (internal or external LAeq,15min).</w:t>
      </w:r>
      <w:r>
        <w:t xml:space="preserve"> </w:t>
      </w:r>
      <w:hyperlink r:id="rId36">
        <w:r>
          <w:rPr>
            <w:rStyle w:val="Hyperlink"/>
          </w:rPr>
          <w:t xml:space="preserve">[18]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Receiver / land use</w:t>
            </w:r>
          </w:p>
        </w:tc>
        <w:tc>
          <w:tcPr/>
          <w:p>
            <w:pPr>
              <w:pStyle w:val="Compact"/>
            </w:pPr>
            <w:r>
              <w:t xml:space="preserve">Management level basis</w:t>
            </w:r>
          </w:p>
        </w:tc>
        <w:tc>
          <w:tcPr/>
          <w:p>
            <w:pPr>
              <w:pStyle w:val="Compact"/>
              <w:jc w:val="right"/>
            </w:pPr>
            <w:r>
              <w:t xml:space="preserve">Level</w:t>
            </w:r>
          </w:p>
        </w:tc>
        <w:tc>
          <w:tcPr/>
          <w:p>
            <w:pPr>
              <w:pStyle w:val="Compact"/>
            </w:pPr>
            <w:r>
              <w:t xml:space="preserve">Source</w:t>
            </w:r>
          </w:p>
        </w:tc>
        <w:tc>
          <w:tcPr/>
          <w:p>
            <w:pPr>
              <w:pStyle w:val="Compact"/>
            </w:pPr>
            <w:r>
              <w:t xml:space="preserve">Notes</w:t>
            </w:r>
          </w:p>
        </w:tc>
      </w:tr>
      <w:tr>
        <w:tc>
          <w:tcPr/>
          <w:p>
            <w:pPr>
              <w:pStyle w:val="Compact"/>
            </w:pPr>
            <w:r>
              <w:t xml:space="preserve">Classrooms / educational</w:t>
            </w:r>
          </w:p>
        </w:tc>
        <w:tc>
          <w:tcPr/>
          <w:p>
            <w:pPr>
              <w:pStyle w:val="Compact"/>
            </w:pPr>
            <w:r>
              <w:t xml:space="preserve">Internal LAeq,15min</w:t>
            </w:r>
          </w:p>
        </w:tc>
        <w:tc>
          <w:tcPr/>
          <w:p>
            <w:pPr>
              <w:pStyle w:val="Compact"/>
              <w:jc w:val="right"/>
            </w:pPr>
            <w:r>
              <w:rPr>
                <w:b/>
                <w:bCs/>
              </w:rPr>
              <w:t xml:space="preserve">45 dB(A)</w:t>
            </w:r>
          </w:p>
        </w:tc>
        <w:tc>
          <w:tcPr/>
          <w:p>
            <w:pPr>
              <w:pStyle w:val="Compact"/>
            </w:pPr>
            <w:hyperlink r:id="rId36">
              <w:r>
                <w:rPr>
                  <w:rStyle w:val="Hyperlink"/>
                </w:rPr>
                <w:t xml:space="preserve">[18]</w:t>
              </w:r>
            </w:hyperlink>
          </w:p>
        </w:tc>
        <w:tc>
          <w:tcPr/>
          <w:p>
            <w:pPr>
              <w:pStyle w:val="Compact"/>
            </w:pPr>
            <w:r>
              <w:t xml:space="preserve">Applies when in use; assess at centre of occupied room</w:t>
            </w:r>
          </w:p>
        </w:tc>
      </w:tr>
      <w:tr>
        <w:tc>
          <w:tcPr/>
          <w:p>
            <w:pPr>
              <w:pStyle w:val="Compact"/>
            </w:pPr>
            <w:r>
              <w:t xml:space="preserve">Hospital wards and operating theatres</w:t>
            </w:r>
          </w:p>
        </w:tc>
        <w:tc>
          <w:tcPr/>
          <w:p>
            <w:pPr>
              <w:pStyle w:val="Compact"/>
            </w:pPr>
            <w:r>
              <w:t xml:space="preserve">Internal LAeq,15min</w:t>
            </w:r>
          </w:p>
        </w:tc>
        <w:tc>
          <w:tcPr/>
          <w:p>
            <w:pPr>
              <w:pStyle w:val="Compact"/>
              <w:jc w:val="right"/>
            </w:pPr>
            <w:r>
              <w:rPr>
                <w:b/>
                <w:bCs/>
              </w:rPr>
              <w:t xml:space="preserve">45 dB(A)</w:t>
            </w:r>
          </w:p>
        </w:tc>
        <w:tc>
          <w:tcPr/>
          <w:p>
            <w:pPr>
              <w:pStyle w:val="Compact"/>
            </w:pPr>
            <w:hyperlink r:id="rId36">
              <w:r>
                <w:rPr>
                  <w:rStyle w:val="Hyperlink"/>
                </w:rPr>
                <w:t xml:space="preserve">[18]</w:t>
              </w:r>
            </w:hyperlink>
          </w:p>
        </w:tc>
        <w:tc>
          <w:tcPr/>
          <w:p>
            <w:pPr>
              <w:pStyle w:val="Compact"/>
            </w:pPr>
            <w:r>
              <w:t xml:space="preserve">“Sensitive receiver” with strong scheduling expectations</w:t>
            </w:r>
          </w:p>
        </w:tc>
      </w:tr>
      <w:tr>
        <w:tc>
          <w:tcPr/>
          <w:p>
            <w:pPr>
              <w:pStyle w:val="Compact"/>
            </w:pPr>
            <w:r>
              <w:t xml:space="preserve">Places of worship</w:t>
            </w:r>
          </w:p>
        </w:tc>
        <w:tc>
          <w:tcPr/>
          <w:p>
            <w:pPr>
              <w:pStyle w:val="Compact"/>
            </w:pPr>
            <w:r>
              <w:t xml:space="preserve">Internal LAeq,15min</w:t>
            </w:r>
          </w:p>
        </w:tc>
        <w:tc>
          <w:tcPr/>
          <w:p>
            <w:pPr>
              <w:pStyle w:val="Compact"/>
              <w:jc w:val="right"/>
            </w:pPr>
            <w:r>
              <w:rPr>
                <w:b/>
                <w:bCs/>
              </w:rPr>
              <w:t xml:space="preserve">45 dB(A)</w:t>
            </w:r>
          </w:p>
        </w:tc>
        <w:tc>
          <w:tcPr/>
          <w:p>
            <w:pPr>
              <w:pStyle w:val="Compact"/>
            </w:pPr>
            <w:hyperlink r:id="rId36">
              <w:r>
                <w:rPr>
                  <w:rStyle w:val="Hyperlink"/>
                </w:rPr>
                <w:t xml:space="preserve">[18]</w:t>
              </w:r>
            </w:hyperlink>
          </w:p>
        </w:tc>
        <w:tc>
          <w:tcPr/>
          <w:p>
            <w:pPr>
              <w:pStyle w:val="Compact"/>
            </w:pPr>
            <w:r>
              <w:t xml:space="preserve">Often tightened via negotiated timing (services)</w:t>
            </w:r>
          </w:p>
        </w:tc>
      </w:tr>
      <w:tr>
        <w:tc>
          <w:tcPr/>
          <w:p>
            <w:pPr>
              <w:pStyle w:val="Compact"/>
            </w:pPr>
            <w:r>
              <w:t xml:space="preserve">Active recreation areas</w:t>
            </w:r>
          </w:p>
        </w:tc>
        <w:tc>
          <w:tcPr/>
          <w:p>
            <w:pPr>
              <w:pStyle w:val="Compact"/>
            </w:pPr>
            <w:r>
              <w:t xml:space="preserve">External LAeq,15min</w:t>
            </w:r>
          </w:p>
        </w:tc>
        <w:tc>
          <w:tcPr/>
          <w:p>
            <w:pPr>
              <w:pStyle w:val="Compact"/>
              <w:jc w:val="right"/>
            </w:pPr>
            <w:r>
              <w:rPr>
                <w:b/>
                <w:bCs/>
              </w:rPr>
              <w:t xml:space="preserve">65 dB(A)</w:t>
            </w:r>
          </w:p>
        </w:tc>
        <w:tc>
          <w:tcPr/>
          <w:p>
            <w:pPr>
              <w:pStyle w:val="Compact"/>
            </w:pPr>
            <w:hyperlink r:id="rId36">
              <w:r>
                <w:rPr>
                  <w:rStyle w:val="Hyperlink"/>
                </w:rPr>
                <w:t xml:space="preserve">[18]</w:t>
              </w:r>
            </w:hyperlink>
          </w:p>
        </w:tc>
        <w:tc>
          <w:tcPr/>
          <w:p>
            <w:pPr>
              <w:pStyle w:val="Compact"/>
            </w:pPr>
            <w:r>
              <w:t xml:space="preserve">Less sensitive to intrusion</w:t>
            </w:r>
          </w:p>
        </w:tc>
      </w:tr>
      <w:tr>
        <w:tc>
          <w:tcPr/>
          <w:p>
            <w:pPr>
              <w:pStyle w:val="Compact"/>
            </w:pPr>
            <w:r>
              <w:t xml:space="preserve">Passive recreation areas</w:t>
            </w:r>
          </w:p>
        </w:tc>
        <w:tc>
          <w:tcPr/>
          <w:p>
            <w:pPr>
              <w:pStyle w:val="Compact"/>
            </w:pPr>
            <w:r>
              <w:t xml:space="preserve">External LAeq,15min</w:t>
            </w:r>
          </w:p>
        </w:tc>
        <w:tc>
          <w:tcPr/>
          <w:p>
            <w:pPr>
              <w:pStyle w:val="Compact"/>
              <w:jc w:val="right"/>
            </w:pPr>
            <w:r>
              <w:rPr>
                <w:b/>
                <w:bCs/>
              </w:rPr>
              <w:t xml:space="preserve">60 dB(A)</w:t>
            </w:r>
          </w:p>
        </w:tc>
        <w:tc>
          <w:tcPr/>
          <w:p>
            <w:pPr>
              <w:pStyle w:val="Compact"/>
            </w:pPr>
            <w:hyperlink r:id="rId36">
              <w:r>
                <w:rPr>
                  <w:rStyle w:val="Hyperlink"/>
                </w:rPr>
                <w:t xml:space="preserve">[18]</w:t>
              </w:r>
            </w:hyperlink>
          </w:p>
        </w:tc>
        <w:tc>
          <w:tcPr/>
          <w:p>
            <w:pPr>
              <w:pStyle w:val="Compact"/>
            </w:pPr>
            <w:r>
              <w:t xml:space="preserve">Reading/meditation contexts</w:t>
            </w:r>
          </w:p>
        </w:tc>
      </w:tr>
      <w:tr>
        <w:tc>
          <w:tcPr/>
          <w:p>
            <w:pPr>
              <w:pStyle w:val="Compact"/>
            </w:pPr>
            <w:r>
              <w:t xml:space="preserve">Industrial premises</w:t>
            </w:r>
          </w:p>
        </w:tc>
        <w:tc>
          <w:tcPr/>
          <w:p>
            <w:pPr>
              <w:pStyle w:val="Compact"/>
            </w:pPr>
            <w:r>
              <w:t xml:space="preserve">External LAeq,15min</w:t>
            </w:r>
          </w:p>
        </w:tc>
        <w:tc>
          <w:tcPr/>
          <w:p>
            <w:pPr>
              <w:pStyle w:val="Compact"/>
              <w:jc w:val="right"/>
            </w:pPr>
            <w:r>
              <w:rPr>
                <w:b/>
                <w:bCs/>
              </w:rPr>
              <w:t xml:space="preserve">75 dB(A)</w:t>
            </w:r>
          </w:p>
        </w:tc>
        <w:tc>
          <w:tcPr/>
          <w:p>
            <w:pPr>
              <w:pStyle w:val="Compact"/>
            </w:pPr>
            <w:hyperlink r:id="rId36">
              <w:r>
                <w:rPr>
                  <w:rStyle w:val="Hyperlink"/>
                </w:rPr>
                <w:t xml:space="preserve">[19]</w:t>
              </w:r>
            </w:hyperlink>
          </w:p>
        </w:tc>
        <w:tc>
          <w:tcPr/>
          <w:p>
            <w:pPr>
              <w:pStyle w:val="Compact"/>
            </w:pPr>
            <w:r>
              <w:t xml:space="preserve">At most-affected occupied point</w:t>
            </w:r>
          </w:p>
        </w:tc>
      </w:tr>
      <w:tr>
        <w:tc>
          <w:tcPr/>
          <w:p>
            <w:pPr>
              <w:pStyle w:val="Compact"/>
            </w:pPr>
            <w:r>
              <w:t xml:space="preserve">Offices / retail outlets</w:t>
            </w:r>
          </w:p>
        </w:tc>
        <w:tc>
          <w:tcPr/>
          <w:p>
            <w:pPr>
              <w:pStyle w:val="Compact"/>
            </w:pPr>
            <w:r>
              <w:t xml:space="preserve">External LAeq,15min</w:t>
            </w:r>
          </w:p>
        </w:tc>
        <w:tc>
          <w:tcPr/>
          <w:p>
            <w:pPr>
              <w:pStyle w:val="Compact"/>
              <w:jc w:val="right"/>
            </w:pPr>
            <w:r>
              <w:rPr>
                <w:b/>
                <w:bCs/>
              </w:rPr>
              <w:t xml:space="preserve">70 dB(A)</w:t>
            </w:r>
          </w:p>
        </w:tc>
        <w:tc>
          <w:tcPr/>
          <w:p>
            <w:pPr>
              <w:pStyle w:val="Compact"/>
            </w:pPr>
            <w:hyperlink r:id="rId36">
              <w:r>
                <w:rPr>
                  <w:rStyle w:val="Hyperlink"/>
                </w:rPr>
                <w:t xml:space="preserve">[19]</w:t>
              </w:r>
            </w:hyperlink>
          </w:p>
        </w:tc>
        <w:tc>
          <w:tcPr/>
          <w:p>
            <w:pPr>
              <w:pStyle w:val="Compact"/>
            </w:pPr>
            <w:r>
              <w:t xml:space="preserve">At most-affected occupied point</w:t>
            </w:r>
          </w:p>
        </w:tc>
      </w:tr>
    </w:tbl>
    <w:bookmarkEnd w:id="39"/>
    <w:bookmarkStart w:id="40" w:name="X0a8b4f7bfc0654c925544133e07ed4fca7c897e"/>
    <w:p>
      <w:pPr>
        <w:pStyle w:val="Heading3"/>
      </w:pPr>
      <w:r>
        <w:t xml:space="preserve">Ground-borne noise (structure-borne noise) at residences</w:t>
      </w:r>
    </w:p>
    <w:p>
      <w:pPr>
        <w:pStyle w:val="FirstParagraph"/>
      </w:pPr>
      <w:r>
        <w:t xml:space="preserve">ICNG provides evening and night-time</w:t>
      </w:r>
      <w:r>
        <w:t xml:space="preserve"> </w:t>
      </w:r>
      <w:r>
        <w:rPr>
          <w:b/>
          <w:bCs/>
        </w:rPr>
        <w:t xml:space="preserve">internal</w:t>
      </w:r>
      <w:r>
        <w:t xml:space="preserve"> </w:t>
      </w:r>
      <w:r>
        <w:t xml:space="preserve">ground-borne noise management levels for residences:</w:t>
      </w:r>
      <w:r>
        <w:t xml:space="preserve"> </w:t>
      </w:r>
      <w:hyperlink r:id="rId36">
        <w:r>
          <w:rPr>
            <w:rStyle w:val="Hyperlink"/>
          </w:rPr>
          <w:t xml:space="preserve">[20]</w:t>
        </w:r>
      </w:hyperlink>
      <w:r>
        <w:br/>
      </w:r>
      <w:r>
        <w:t xml:space="preserve">-</w:t>
      </w:r>
      <w:r>
        <w:t xml:space="preserve"> </w:t>
      </w:r>
      <w:r>
        <w:rPr>
          <w:b/>
          <w:bCs/>
        </w:rPr>
        <w:t xml:space="preserve">Evening (6 pm–10 pm):</w:t>
      </w:r>
      <w:r>
        <w:t xml:space="preserve"> </w:t>
      </w:r>
      <w:r>
        <w:rPr>
          <w:b/>
          <w:bCs/>
        </w:rPr>
        <w:t xml:space="preserve">40 dB(A) LAeq,15min</w:t>
      </w:r>
      <w:r>
        <w:t xml:space="preserve"> </w:t>
      </w:r>
      <w:r>
        <w:t xml:space="preserve">(internal)</w:t>
      </w:r>
      <w:r>
        <w:br/>
      </w:r>
      <w:r>
        <w:t xml:space="preserve">-</w:t>
      </w:r>
      <w:r>
        <w:t xml:space="preserve"> </w:t>
      </w:r>
      <w:r>
        <w:rPr>
          <w:b/>
          <w:bCs/>
        </w:rPr>
        <w:t xml:space="preserve">Night (10 pm–7 am):</w:t>
      </w:r>
      <w:r>
        <w:t xml:space="preserve"> </w:t>
      </w:r>
      <w:r>
        <w:rPr>
          <w:b/>
          <w:bCs/>
        </w:rPr>
        <w:t xml:space="preserve">35 dB(A) LAeq,15min</w:t>
      </w:r>
      <w:r>
        <w:t xml:space="preserve"> </w:t>
      </w:r>
      <w:r>
        <w:t xml:space="preserve">(internal)</w:t>
      </w:r>
    </w:p>
    <w:p>
      <w:pPr>
        <w:pStyle w:val="BodyText"/>
      </w:pPr>
      <w:r>
        <w:t xml:space="preserve">The draft guideline repeats these values and notes they apply only when ground-borne noise exceeds airborne noise.</w:t>
      </w:r>
      <w:r>
        <w:t xml:space="preserve"> </w:t>
      </w:r>
      <w:hyperlink r:id="rId34">
        <w:r>
          <w:rPr>
            <w:rStyle w:val="Hyperlink"/>
          </w:rPr>
          <w:t xml:space="preserve">[21]</w:t>
        </w:r>
      </w:hyperlink>
    </w:p>
    <w:bookmarkEnd w:id="40"/>
    <w:bookmarkStart w:id="42" w:name="X1ba6ec5ac7900ef8a80cb09a33f7f40fac47f6b"/>
    <w:p>
      <w:pPr>
        <w:pStyle w:val="Heading3"/>
      </w:pPr>
      <w:r>
        <w:t xml:space="preserve">Sleep disturbance screening approach used in NSW noise practice</w:t>
      </w:r>
    </w:p>
    <w:p>
      <w:pPr>
        <w:pStyle w:val="FirstParagraph"/>
      </w:pPr>
      <w:r>
        <w:t xml:space="preserve">For works outside standard hours, NSW guidance stresses assessing the likelihood of sleep disturbance. The draft construction guideline notes there is no definitive method, but cites a screening concept where maximum noise events exceed background by more than</w:t>
      </w:r>
      <w:r>
        <w:t xml:space="preserve"> </w:t>
      </w:r>
      <w:r>
        <w:rPr>
          <w:b/>
          <w:bCs/>
        </w:rPr>
        <w:t xml:space="preserve">15 dB(A)</w:t>
      </w:r>
      <w:r>
        <w:t xml:space="preserve"> </w:t>
      </w:r>
      <w:r>
        <w:t xml:space="preserve">using an</w:t>
      </w:r>
      <w:r>
        <w:t xml:space="preserve"> </w:t>
      </w:r>
      <w:r>
        <w:rPr>
          <w:b/>
          <w:bCs/>
        </w:rPr>
        <w:t xml:space="preserve">LAmax</w:t>
      </w:r>
      <w:r>
        <w:t xml:space="preserve"> </w:t>
      </w:r>
      <w:r>
        <w:t xml:space="preserve">descriptor.</w:t>
      </w:r>
      <w:r>
        <w:t xml:space="preserve"> </w:t>
      </w:r>
      <w:hyperlink r:id="rId34">
        <w:r>
          <w:rPr>
            <w:rStyle w:val="Hyperlink"/>
          </w:rPr>
          <w:t xml:space="preserve">[22]</w:t>
        </w:r>
      </w:hyperlink>
    </w:p>
    <w:p>
      <w:pPr>
        <w:pStyle w:val="BodyText"/>
      </w:pPr>
      <w:r>
        <w:t xml:space="preserve">NSW’s Road Noise Policy discusses the earlier NSW road-traffic criterion (ECRTN-era approach):</w:t>
      </w:r>
      <w:r>
        <w:t xml:space="preserve"> </w:t>
      </w:r>
      <w:r>
        <w:rPr>
          <w:b/>
          <w:bCs/>
        </w:rPr>
        <w:t xml:space="preserve">LAF1,1min should not exceed ambient LAF90 by more than 15 dB</w:t>
      </w:r>
      <w:r>
        <w:t xml:space="preserve"> </w:t>
      </w:r>
      <w:r>
        <w:t xml:space="preserve">as a guideline aimed at limiting sleep disturbance.</w:t>
      </w:r>
      <w:r>
        <w:t xml:space="preserve"> </w:t>
      </w:r>
      <w:hyperlink r:id="rId41">
        <w:r>
          <w:rPr>
            <w:rStyle w:val="Hyperlink"/>
          </w:rPr>
          <w:t xml:space="preserve">[23]</w:t>
        </w:r>
      </w:hyperlink>
    </w:p>
    <w:p>
      <w:pPr>
        <w:pStyle w:val="BodyText"/>
      </w:pPr>
      <w:r>
        <w:t xml:space="preserve">For a reporting platform, it is common to represent this as:</w:t>
      </w:r>
      <w:r>
        <w:br/>
      </w:r>
      <w:r>
        <w:t xml:space="preserve">-</w:t>
      </w:r>
      <w:r>
        <w:t xml:space="preserve"> </w:t>
      </w:r>
      <w:r>
        <w:rPr>
          <w:i/>
          <w:iCs/>
        </w:rPr>
        <w:t xml:space="preserve">screening trigger:</w:t>
      </w:r>
      <w:r>
        <w:t xml:space="preserve"> </w:t>
      </w:r>
      <w:r>
        <w:rPr>
          <w:b/>
          <w:bCs/>
        </w:rPr>
        <w:t xml:space="preserve">LAmax (or LAF1,1min) &gt; night RBL + 15 dB</w:t>
      </w:r>
      <w:r>
        <w:t xml:space="preserve">, then proceed to an event-count and distribution assessment (particularly for intermittent night works).</w:t>
      </w:r>
      <w:r>
        <w:t xml:space="preserve"> </w:t>
      </w:r>
      <w:hyperlink r:id="rId34">
        <w:r>
          <w:rPr>
            <w:rStyle w:val="Hyperlink"/>
          </w:rPr>
          <w:t xml:space="preserve">[24]</w:t>
        </w:r>
      </w:hyperlink>
    </w:p>
    <w:bookmarkEnd w:id="42"/>
    <w:bookmarkStart w:id="44" w:name="X5492e3bbccb2db6528cedda4aa887a80c276d84"/>
    <w:p>
      <w:pPr>
        <w:pStyle w:val="Heading3"/>
      </w:pPr>
      <w:r>
        <w:t xml:space="preserve">Time-of-day definitions used across NSW noise frameworks</w:t>
      </w:r>
    </w:p>
    <w:p>
      <w:pPr>
        <w:pStyle w:val="FirstParagraph"/>
      </w:pPr>
      <w:r>
        <w:t xml:space="preserve">For operational/industrial style assessment frameworks (including background level determination used in construction NML calculations), the NSW Noise Policy for Industry defines:</w:t>
      </w:r>
      <w:r>
        <w:t xml:space="preserve"> </w:t>
      </w:r>
      <w:hyperlink r:id="rId43">
        <w:r>
          <w:rPr>
            <w:rStyle w:val="Hyperlink"/>
          </w:rPr>
          <w:t xml:space="preserve">[25]</w:t>
        </w:r>
      </w:hyperlink>
      <w:r>
        <w:br/>
      </w:r>
      <w:r>
        <w:t xml:space="preserve">-</w:t>
      </w:r>
      <w:r>
        <w:t xml:space="preserve"> </w:t>
      </w:r>
      <w:r>
        <w:rPr>
          <w:b/>
          <w:bCs/>
        </w:rPr>
        <w:t xml:space="preserve">day:</w:t>
      </w:r>
      <w:r>
        <w:t xml:space="preserve"> </w:t>
      </w:r>
      <w:r>
        <w:t xml:space="preserve">7 am–6 pm Monday–Saturday; 8 am–6 pm Sundays/PH</w:t>
      </w:r>
      <w:r>
        <w:br/>
      </w:r>
      <w:r>
        <w:t xml:space="preserve">-</w:t>
      </w:r>
      <w:r>
        <w:t xml:space="preserve"> </w:t>
      </w:r>
      <w:r>
        <w:rPr>
          <w:b/>
          <w:bCs/>
        </w:rPr>
        <w:t xml:space="preserve">evening:</w:t>
      </w:r>
      <w:r>
        <w:t xml:space="preserve"> </w:t>
      </w:r>
      <w:r>
        <w:t xml:space="preserve">6 pm–10 pm</w:t>
      </w:r>
      <w:r>
        <w:br/>
      </w:r>
      <w:r>
        <w:t xml:space="preserve">-</w:t>
      </w:r>
      <w:r>
        <w:t xml:space="preserve"> </w:t>
      </w:r>
      <w:r>
        <w:rPr>
          <w:b/>
          <w:bCs/>
        </w:rPr>
        <w:t xml:space="preserve">night:</w:t>
      </w:r>
      <w:r>
        <w:t xml:space="preserve"> </w:t>
      </w:r>
      <w:r>
        <w:t xml:space="preserve">the remaining periods (with a glossary restatement that night is 10 pm–7 am Mon–Sat, 10 pm–8 am Sun/PH)</w:t>
      </w:r>
    </w:p>
    <w:p>
      <w:pPr>
        <w:pStyle w:val="BodyText"/>
      </w:pPr>
      <w:r>
        <w:t xml:space="preserve">Construction hours in ICNG/draft are not identical to these day/evening/night periods, which explains why many CNVMPs keep both concepts: “standard construction hours” for approvals and “day/evening/night” for RBL and operational/traffic assessments.</w:t>
      </w:r>
      <w:r>
        <w:t xml:space="preserve"> </w:t>
      </w:r>
      <w:hyperlink r:id="rId36">
        <w:r>
          <w:rPr>
            <w:rStyle w:val="Hyperlink"/>
          </w:rPr>
          <w:t xml:space="preserve">[26]</w:t>
        </w:r>
      </w:hyperlink>
    </w:p>
    <w:bookmarkEnd w:id="44"/>
    <w:bookmarkStart w:id="45" w:name="X9af01602b79ab23496883b299a8260e95c9d656"/>
    <w:p>
      <w:pPr>
        <w:pStyle w:val="Heading3"/>
      </w:pPr>
      <w:r>
        <w:t xml:space="preserve">Activity-specific notes relevant to piling, rock breaking, and ground improvement</w:t>
      </w:r>
    </w:p>
    <w:p>
      <w:pPr>
        <w:pStyle w:val="FirstParagraph"/>
      </w:pPr>
      <w:r>
        <w:t xml:space="preserve">NSW EPA construction guidance generally does</w:t>
      </w:r>
      <w:r>
        <w:t xml:space="preserve"> </w:t>
      </w:r>
      <w:r>
        <w:rPr>
          <w:b/>
          <w:bCs/>
        </w:rPr>
        <w:t xml:space="preserve">not</w:t>
      </w:r>
      <w:r>
        <w:t xml:space="preserve"> </w:t>
      </w:r>
      <w:r>
        <w:t xml:space="preserve">prescribe separate dB limits for “piling” versus “excavation” versus “rock breaking”. Instead, those activities are treated via:</w:t>
      </w:r>
      <w:r>
        <w:br/>
      </w:r>
      <w:r>
        <w:t xml:space="preserve">- their contribution to</w:t>
      </w:r>
      <w:r>
        <w:t xml:space="preserve"> </w:t>
      </w:r>
      <w:r>
        <w:rPr>
          <w:b/>
          <w:bCs/>
        </w:rPr>
        <w:t xml:space="preserve">LAeq,15min</w:t>
      </w:r>
      <w:r>
        <w:t xml:space="preserve"> </w:t>
      </w:r>
      <w:r>
        <w:t xml:space="preserve">at receivers relative to NMLs;</w:t>
      </w:r>
      <w:r>
        <w:br/>
      </w:r>
      <w:r>
        <w:t xml:space="preserve">- their tendency to create</w:t>
      </w:r>
      <w:r>
        <w:t xml:space="preserve"> </w:t>
      </w:r>
      <w:r>
        <w:rPr>
          <w:b/>
          <w:bCs/>
        </w:rPr>
        <w:t xml:space="preserve">special audible characteristics</w:t>
      </w:r>
      <w:r>
        <w:t xml:space="preserve"> </w:t>
      </w:r>
      <w:r>
        <w:t xml:space="preserve">(tonality, intermittency, impulses); and</w:t>
      </w:r>
      <w:r>
        <w:br/>
      </w:r>
      <w:r>
        <w:t xml:space="preserve">- additional mitigation and scheduling requirements once</w:t>
      </w:r>
      <w:r>
        <w:t xml:space="preserve"> </w:t>
      </w:r>
      <w:r>
        <w:rPr>
          <w:i/>
          <w:iCs/>
        </w:rPr>
        <w:t xml:space="preserve">noise affected</w:t>
      </w:r>
      <w:r>
        <w:t xml:space="preserve"> </w:t>
      </w:r>
      <w:r>
        <w:t xml:space="preserve">/</w:t>
      </w:r>
      <w:r>
        <w:t xml:space="preserve"> </w:t>
      </w:r>
      <w:r>
        <w:rPr>
          <w:i/>
          <w:iCs/>
        </w:rPr>
        <w:t xml:space="preserve">highly noise affected</w:t>
      </w:r>
      <w:r>
        <w:t xml:space="preserve"> </w:t>
      </w:r>
      <w:r>
        <w:t xml:space="preserve">thresholds are reached or exceeded.</w:t>
      </w:r>
      <w:r>
        <w:t xml:space="preserve"> </w:t>
      </w:r>
      <w:hyperlink r:id="rId36">
        <w:r>
          <w:rPr>
            <w:rStyle w:val="Hyperlink"/>
          </w:rPr>
          <w:t xml:space="preserve">[27]</w:t>
        </w:r>
      </w:hyperlink>
    </w:p>
    <w:p>
      <w:pPr>
        <w:pStyle w:val="BodyText"/>
      </w:pPr>
      <w:r>
        <w:t xml:space="preserve">The draft guideline highlights that activities like power saws, grinding, rock drilling and alarms may have special audible characteristics and indicates that a</w:t>
      </w:r>
      <w:r>
        <w:t xml:space="preserve"> </w:t>
      </w:r>
      <w:r>
        <w:rPr>
          <w:b/>
          <w:bCs/>
        </w:rPr>
        <w:t xml:space="preserve">single 5 dB penalty</w:t>
      </w:r>
      <w:r>
        <w:t xml:space="preserve"> </w:t>
      </w:r>
      <w:r>
        <w:t xml:space="preserve">should be added in a quantitative assessment when such characteristics are expected during the assessment period.</w:t>
      </w:r>
      <w:r>
        <w:t xml:space="preserve"> </w:t>
      </w:r>
      <w:hyperlink r:id="rId34">
        <w:r>
          <w:rPr>
            <w:rStyle w:val="Hyperlink"/>
          </w:rPr>
          <w:t xml:space="preserve">[28]</w:t>
        </w:r>
      </w:hyperlink>
    </w:p>
    <w:p>
      <w:pPr>
        <w:pStyle w:val="BodyText"/>
      </w:pPr>
      <w:r>
        <w:t xml:space="preserve">Consent conditions can also impose</w:t>
      </w:r>
      <w:r>
        <w:t xml:space="preserve"> </w:t>
      </w:r>
      <w:r>
        <w:rPr>
          <w:b/>
          <w:bCs/>
        </w:rPr>
        <w:t xml:space="preserve">specific plant controls</w:t>
      </w:r>
      <w:r>
        <w:t xml:space="preserve"> </w:t>
      </w:r>
      <w:r>
        <w:t xml:space="preserve">(for example, requiring “quackers”/broadband alarms where practicable) and explicit management for high noise-generating works near sensitive receivers.</w:t>
      </w:r>
      <w:r>
        <w:t xml:space="preserve"> </w:t>
      </w:r>
      <w:hyperlink r:id="rId30">
        <w:r>
          <w:rPr>
            <w:rStyle w:val="Hyperlink"/>
          </w:rPr>
          <w:t xml:space="preserve">[8]</w:t>
        </w:r>
      </w:hyperlink>
    </w:p>
    <w:bookmarkEnd w:id="45"/>
    <w:bookmarkEnd w:id="46"/>
    <w:bookmarkStart w:id="51" w:name="Xa6d4ee3b290fbb343e4aae3318700e6de29f12f"/>
    <w:p>
      <w:pPr>
        <w:pStyle w:val="Heading2"/>
      </w:pPr>
      <w:r>
        <w:t xml:space="preserve">Construction vibration criteria and standards used in NSW practice</w:t>
      </w:r>
    </w:p>
    <w:bookmarkStart w:id="48" w:name="Xf26e6bd3bcf237ce4a766452fc246302961d297"/>
    <w:p>
      <w:pPr>
        <w:pStyle w:val="Heading3"/>
      </w:pPr>
      <w:r>
        <w:t xml:space="preserve">How vibration is regulated in NSW construction</w:t>
      </w:r>
    </w:p>
    <w:p>
      <w:pPr>
        <w:pStyle w:val="FirstParagraph"/>
      </w:pPr>
      <w:r>
        <w:t xml:space="preserve">Because “noise” includes vibration under the POEO Act Dictionary, vibration impacts are typically regulated through:</w:t>
      </w:r>
      <w:r>
        <w:t xml:space="preserve"> </w:t>
      </w:r>
      <w:r>
        <w:t xml:space="preserve">- consent or licence conditions (where numeric criteria are stated), and/or</w:t>
      </w:r>
      <w:r>
        <w:br/>
      </w:r>
      <w:r>
        <w:t xml:space="preserve">- “offensive noise” based enforcement responses when vibration is considered unreasonable/harmful.</w:t>
      </w:r>
      <w:r>
        <w:t xml:space="preserve"> </w:t>
      </w:r>
      <w:hyperlink r:id="rId23">
        <w:r>
          <w:rPr>
            <w:rStyle w:val="Hyperlink"/>
          </w:rPr>
          <w:t xml:space="preserve">[29]</w:t>
        </w:r>
      </w:hyperlink>
    </w:p>
    <w:p>
      <w:pPr>
        <w:pStyle w:val="BodyText"/>
      </w:pPr>
      <w:r>
        <w:t xml:space="preserve">There is no single statewide statutory PPV limit for construction vibration in the POEO Act. Numeric vibration limits most commonly arise from:</w:t>
      </w:r>
      <w:r>
        <w:br/>
      </w:r>
      <w:r>
        <w:t xml:space="preserve">-</w:t>
      </w:r>
      <w:r>
        <w:t xml:space="preserve"> </w:t>
      </w:r>
      <w:r>
        <w:rPr>
          <w:b/>
          <w:bCs/>
        </w:rPr>
        <w:t xml:space="preserve">development consent conditions</w:t>
      </w:r>
      <w:r>
        <w:t xml:space="preserve"> </w:t>
      </w:r>
      <w:r>
        <w:t xml:space="preserve">(often referencing DIN 4150-3 for structural damage and the NSW “Assessing Vibration” guideline for human comfort),</w:t>
      </w:r>
      <w:r>
        <w:t xml:space="preserve"> </w:t>
      </w:r>
      <w:hyperlink r:id="rId30">
        <w:r>
          <w:rPr>
            <w:rStyle w:val="Hyperlink"/>
          </w:rPr>
          <w:t xml:space="preserve">[30]</w:t>
        </w:r>
      </w:hyperlink>
      <w:r>
        <w:t xml:space="preserve"> </w:t>
      </w:r>
      <w:r>
        <w:t xml:space="preserve">and/or</w:t>
      </w:r>
      <w:r>
        <w:br/>
      </w:r>
      <w:r>
        <w:t xml:space="preserve">-</w:t>
      </w:r>
      <w:r>
        <w:t xml:space="preserve"> </w:t>
      </w:r>
      <w:r>
        <w:rPr>
          <w:b/>
          <w:bCs/>
        </w:rPr>
        <w:t xml:space="preserve">project-specific management plans and monitoring trigger levels</w:t>
      </w:r>
      <w:r>
        <w:t xml:space="preserve"> </w:t>
      </w:r>
      <w:r>
        <w:t xml:space="preserve">(warning/alert and stop-work thresholds).</w:t>
      </w:r>
      <w:r>
        <w:t xml:space="preserve"> </w:t>
      </w:r>
      <w:hyperlink r:id="rId47">
        <w:r>
          <w:rPr>
            <w:rStyle w:val="Hyperlink"/>
          </w:rPr>
          <w:t xml:space="preserve">[31]</w:t>
        </w:r>
      </w:hyperlink>
    </w:p>
    <w:p>
      <w:pPr>
        <w:pStyle w:val="BodyText"/>
      </w:pPr>
      <w:r>
        <w:t xml:space="preserve">An example SSD consent condition set requires that vibration caused by construction at any residence or structure outside the site be limited to</w:t>
      </w:r>
      <w:r>
        <w:t xml:space="preserve"> </w:t>
      </w:r>
      <w:r>
        <w:rPr>
          <w:b/>
          <w:bCs/>
        </w:rPr>
        <w:t xml:space="preserve">DIN 4150-3</w:t>
      </w:r>
      <w:r>
        <w:t xml:space="preserve"> </w:t>
      </w:r>
      <w:r>
        <w:t xml:space="preserve">(structural damage) and the NSW “Assessing Vibration” guideline (human exposure), and adds a specific restriction on vibratory compactors within 30 m unless monitoring confirms compliance.</w:t>
      </w:r>
      <w:r>
        <w:t xml:space="preserve"> </w:t>
      </w:r>
      <w:hyperlink r:id="rId30">
        <w:r>
          <w:rPr>
            <w:rStyle w:val="Hyperlink"/>
          </w:rPr>
          <w:t xml:space="preserve">[8]</w:t>
        </w:r>
      </w:hyperlink>
    </w:p>
    <w:bookmarkEnd w:id="48"/>
    <w:bookmarkStart w:id="49" w:name="Xac5da126de1697389bd32c20d674e481a713724"/>
    <w:p>
      <w:pPr>
        <w:pStyle w:val="Heading3"/>
      </w:pPr>
      <w:r>
        <w:t xml:space="preserve">Human comfort and annoyance criteria used in NSW</w:t>
      </w:r>
    </w:p>
    <w:p>
      <w:pPr>
        <w:pStyle w:val="FirstParagraph"/>
      </w:pPr>
      <w:r>
        <w:t xml:space="preserve">NSW’s published vibration guideline (“Assessing vibration: a technical guideline”) provides</w:t>
      </w:r>
      <w:r>
        <w:t xml:space="preserve"> </w:t>
      </w:r>
      <w:r>
        <w:rPr>
          <w:b/>
          <w:bCs/>
        </w:rPr>
        <w:t xml:space="preserve">amenity-focused</w:t>
      </w:r>
      <w:r>
        <w:t xml:space="preserve"> </w:t>
      </w:r>
      <w:r>
        <w:t xml:space="preserve">criteria and distinguishes continuous vs intermittent vibration using different metrics.</w:t>
      </w:r>
      <w:r>
        <w:t xml:space="preserve"> </w:t>
      </w:r>
      <w:hyperlink r:id="rId21">
        <w:r>
          <w:rPr>
            <w:rStyle w:val="Hyperlink"/>
          </w:rPr>
          <w:t xml:space="preserve">[32]</w:t>
        </w:r>
      </w:hyperlink>
    </w:p>
    <w:p>
      <w:pPr>
        <w:pStyle w:val="BodyText"/>
      </w:pPr>
      <w:r>
        <w:t xml:space="preserve">For</w:t>
      </w:r>
      <w:r>
        <w:t xml:space="preserve"> </w:t>
      </w:r>
      <w:r>
        <w:rPr>
          <w:b/>
          <w:bCs/>
        </w:rPr>
        <w:t xml:space="preserve">intermittent vibration</w:t>
      </w:r>
      <w:r>
        <w:t xml:space="preserve">, NSW uses</w:t>
      </w:r>
      <w:r>
        <w:t xml:space="preserve"> </w:t>
      </w:r>
      <w:r>
        <w:rPr>
          <w:b/>
          <w:bCs/>
        </w:rPr>
        <w:t xml:space="preserve">VDV (vibration dose value)</w:t>
      </w:r>
      <w:r>
        <w:t xml:space="preserve"> </w:t>
      </w:r>
      <w:r>
        <w:t xml:space="preserve">and provides acceptable preferred/maximum values by receiver type and time period.</w:t>
      </w:r>
      <w:r>
        <w:t xml:space="preserve"> </w:t>
      </w:r>
      <w:hyperlink r:id="rId21">
        <w:r>
          <w:rPr>
            <w:rStyle w:val="Hyperlink"/>
          </w:rPr>
          <w:t xml:space="preserve">[33]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Location type</w:t>
            </w:r>
          </w:p>
        </w:tc>
        <w:tc>
          <w:tcPr/>
          <w:p>
            <w:pPr>
              <w:pStyle w:val="Compact"/>
              <w:jc w:val="right"/>
            </w:pPr>
            <w:r>
              <w:t xml:space="preserve">Daytime preferred VDV (m/s^1.75)</w:t>
            </w:r>
          </w:p>
        </w:tc>
        <w:tc>
          <w:tcPr/>
          <w:p>
            <w:pPr>
              <w:pStyle w:val="Compact"/>
              <w:jc w:val="right"/>
            </w:pPr>
            <w:r>
              <w:t xml:space="preserve">Daytime maximum VDV</w:t>
            </w:r>
          </w:p>
        </w:tc>
        <w:tc>
          <w:tcPr/>
          <w:p>
            <w:pPr>
              <w:pStyle w:val="Compact"/>
              <w:jc w:val="right"/>
            </w:pPr>
            <w:r>
              <w:t xml:space="preserve">Night-time preferred VDV</w:t>
            </w:r>
          </w:p>
        </w:tc>
        <w:tc>
          <w:tcPr/>
          <w:p>
            <w:pPr>
              <w:pStyle w:val="Compact"/>
              <w:jc w:val="right"/>
            </w:pPr>
            <w:r>
              <w:t xml:space="preserve">Night-time maximum VDV</w:t>
            </w:r>
          </w:p>
        </w:tc>
      </w:tr>
      <w:tr>
        <w:tc>
          <w:tcPr/>
          <w:p>
            <w:pPr>
              <w:pStyle w:val="Compact"/>
            </w:pPr>
            <w:r>
              <w:t xml:space="preserve">Critical areas (e.g. operating theatres, precision labs)</w:t>
            </w:r>
          </w:p>
        </w:tc>
        <w:tc>
          <w:tcPr/>
          <w:p>
            <w:pPr>
              <w:pStyle w:val="Compact"/>
              <w:jc w:val="right"/>
            </w:pPr>
            <w:r>
              <w:t xml:space="preserve">0.10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0.20</w:t>
            </w:r>
          </w:p>
        </w:tc>
      </w:tr>
      <w:tr>
        <w:tc>
          <w:tcPr/>
          <w:p>
            <w:pPr>
              <w:pStyle w:val="Compact"/>
            </w:pPr>
            <w:r>
              <w:t xml:space="preserve">Residences</w:t>
            </w:r>
          </w:p>
        </w:tc>
        <w:tc>
          <w:tcPr/>
          <w:p>
            <w:pPr>
              <w:pStyle w:val="Compact"/>
              <w:jc w:val="right"/>
            </w:pPr>
            <w:r>
              <w:t xml:space="preserve">0.20</w:t>
            </w:r>
          </w:p>
        </w:tc>
        <w:tc>
          <w:tcPr/>
          <w:p>
            <w:pPr>
              <w:pStyle w:val="Compact"/>
              <w:jc w:val="right"/>
            </w:pPr>
            <w:r>
              <w:t xml:space="preserve">0.40</w:t>
            </w:r>
          </w:p>
        </w:tc>
        <w:tc>
          <w:tcPr/>
          <w:p>
            <w:pPr>
              <w:pStyle w:val="Compact"/>
              <w:jc w:val="right"/>
            </w:pPr>
            <w:r>
              <w:t xml:space="preserve">0.13</w:t>
            </w:r>
          </w:p>
        </w:tc>
        <w:tc>
          <w:tcPr/>
          <w:p>
            <w:pPr>
              <w:pStyle w:val="Compact"/>
              <w:jc w:val="right"/>
            </w:pPr>
            <w:r>
              <w:t xml:space="preserve">0.26</w:t>
            </w:r>
          </w:p>
        </w:tc>
      </w:tr>
      <w:tr>
        <w:tc>
          <w:tcPr/>
          <w:p>
            <w:pPr>
              <w:pStyle w:val="Compact"/>
            </w:pPr>
            <w:r>
              <w:t xml:space="preserve">Offices, schools, educational institutions, places of worship</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0.80</w:t>
            </w:r>
          </w:p>
        </w:tc>
      </w:tr>
      <w:tr>
        <w:tc>
          <w:tcPr/>
          <w:p>
            <w:pPr>
              <w:pStyle w:val="Compact"/>
            </w:pPr>
            <w:r>
              <w:t xml:space="preserve">Workshops</w:t>
            </w:r>
          </w:p>
        </w:tc>
        <w:tc>
          <w:tcPr/>
          <w:p>
            <w:pPr>
              <w:pStyle w:val="Compact"/>
              <w:jc w:val="right"/>
            </w:pPr>
            <w:r>
              <w:t xml:space="preserve">0.80</w:t>
            </w:r>
          </w:p>
        </w:tc>
        <w:tc>
          <w:tcPr/>
          <w:p>
            <w:pPr>
              <w:pStyle w:val="Compact"/>
              <w:jc w:val="right"/>
            </w:pPr>
            <w:r>
              <w:t xml:space="preserve">1.60</w:t>
            </w:r>
          </w:p>
        </w:tc>
        <w:tc>
          <w:tcPr/>
          <w:p>
            <w:pPr>
              <w:pStyle w:val="Compact"/>
              <w:jc w:val="right"/>
            </w:pPr>
            <w:r>
              <w:t xml:space="preserve">0.80</w:t>
            </w:r>
          </w:p>
        </w:tc>
        <w:tc>
          <w:tcPr/>
          <w:p>
            <w:pPr>
              <w:pStyle w:val="Compact"/>
              <w:jc w:val="right"/>
            </w:pPr>
            <w:r>
              <w:t xml:space="preserve">1.60</w:t>
            </w:r>
          </w:p>
        </w:tc>
      </w:tr>
    </w:tbl>
    <w:p>
      <w:pPr>
        <w:pStyle w:val="BodyText"/>
      </w:pPr>
      <w:r>
        <w:t xml:space="preserve">Daytime/night-time for this table are defined as</w:t>
      </w:r>
      <w:r>
        <w:t xml:space="preserve"> </w:t>
      </w:r>
      <w:r>
        <w:rPr>
          <w:b/>
          <w:bCs/>
        </w:rPr>
        <w:t xml:space="preserve">7 am–10 pm</w:t>
      </w:r>
      <w:r>
        <w:t xml:space="preserve"> </w:t>
      </w:r>
      <w:r>
        <w:t xml:space="preserve">and</w:t>
      </w:r>
      <w:r>
        <w:t xml:space="preserve"> </w:t>
      </w:r>
      <w:r>
        <w:rPr>
          <w:b/>
          <w:bCs/>
        </w:rPr>
        <w:t xml:space="preserve">10 pm–7 am</w:t>
      </w:r>
      <w:r>
        <w:t xml:space="preserve"> </w:t>
      </w:r>
      <w:r>
        <w:t xml:space="preserve">respectively in the guideline.</w:t>
      </w:r>
      <w:r>
        <w:t xml:space="preserve"> </w:t>
      </w:r>
      <w:hyperlink r:id="rId21">
        <w:r>
          <w:rPr>
            <w:rStyle w:val="Hyperlink"/>
          </w:rPr>
          <w:t xml:space="preserve">[33]</w:t>
        </w:r>
      </w:hyperlink>
    </w:p>
    <w:p>
      <w:pPr>
        <w:pStyle w:val="BodyText"/>
      </w:pPr>
      <w:r>
        <w:t xml:space="preserve">In council and project practice, these NSW values are frequently mapped into</w:t>
      </w:r>
      <w:r>
        <w:t xml:space="preserve"> </w:t>
      </w:r>
      <w:r>
        <w:rPr>
          <w:b/>
          <w:bCs/>
        </w:rPr>
        <w:t xml:space="preserve">trigger/action frameworks</w:t>
      </w:r>
      <w:r>
        <w:t xml:space="preserve"> </w:t>
      </w:r>
      <w:r>
        <w:t xml:space="preserve">(e.g., “approaching maximum” triggers an investigation/mitigation response even if the maximum is not exceeded). This is consistent with the guideline’s statement that adverse comment is unlikely below preferred values and may be expected as values approach maximum.</w:t>
      </w:r>
      <w:r>
        <w:t xml:space="preserve"> </w:t>
      </w:r>
      <w:hyperlink r:id="rId21">
        <w:r>
          <w:rPr>
            <w:rStyle w:val="Hyperlink"/>
          </w:rPr>
          <w:t xml:space="preserve">[33]</w:t>
        </w:r>
      </w:hyperlink>
    </w:p>
    <w:bookmarkEnd w:id="49"/>
    <w:bookmarkStart w:id="50" w:name="building-damage-criteria-used-in-nsw"/>
    <w:p>
      <w:pPr>
        <w:pStyle w:val="Heading3"/>
      </w:pPr>
      <w:r>
        <w:t xml:space="preserve">Building damage criteria used in NSW</w:t>
      </w:r>
    </w:p>
    <w:p>
      <w:pPr>
        <w:pStyle w:val="FirstParagraph"/>
      </w:pPr>
      <w:r>
        <w:t xml:space="preserve">NSW’s amenity guideline explicitly does not cover vibration-induced damage to structures; accordingly, NSW consents and CNVMPs typically reference</w:t>
      </w:r>
      <w:r>
        <w:t xml:space="preserve"> </w:t>
      </w:r>
      <w:r>
        <w:rPr>
          <w:b/>
          <w:bCs/>
        </w:rPr>
        <w:t xml:space="preserve">DIN 4150-3</w:t>
      </w:r>
      <w:r>
        <w:t xml:space="preserve"> </w:t>
      </w:r>
      <w:r>
        <w:t xml:space="preserve">and/or</w:t>
      </w:r>
      <w:r>
        <w:t xml:space="preserve"> </w:t>
      </w:r>
      <w:r>
        <w:rPr>
          <w:b/>
          <w:bCs/>
        </w:rPr>
        <w:t xml:space="preserve">BS 7385</w:t>
      </w:r>
      <w:r>
        <w:t xml:space="preserve"> </w:t>
      </w:r>
      <w:r>
        <w:t xml:space="preserve">for cosmetic damage screening in building structures.</w:t>
      </w:r>
      <w:r>
        <w:t xml:space="preserve"> </w:t>
      </w:r>
      <w:hyperlink r:id="rId30">
        <w:r>
          <w:rPr>
            <w:rStyle w:val="Hyperlink"/>
          </w:rPr>
          <w:t xml:space="preserve">[34]</w:t>
        </w:r>
      </w:hyperlink>
    </w:p>
    <w:p>
      <w:pPr>
        <w:pStyle w:val="BodyText"/>
      </w:pPr>
      <w:r>
        <w:t xml:space="preserve">A common NSW consent pattern is:</w:t>
      </w:r>
      <w:r>
        <w:t xml:space="preserve"> </w:t>
      </w:r>
      <w:r>
        <w:t xml:space="preserve">-</w:t>
      </w:r>
      <w:r>
        <w:t xml:space="preserve"> </w:t>
      </w:r>
      <w:r>
        <w:rPr>
          <w:b/>
          <w:bCs/>
        </w:rPr>
        <w:t xml:space="preserve">structural damage:</w:t>
      </w:r>
      <w:r>
        <w:t xml:space="preserve"> </w:t>
      </w:r>
      <w:r>
        <w:t xml:space="preserve">DIN 4150-3 (building vibration effects on structures)</w:t>
      </w:r>
      <w:r>
        <w:br/>
      </w:r>
      <w:r>
        <w:t xml:space="preserve">-</w:t>
      </w:r>
      <w:r>
        <w:t xml:space="preserve"> </w:t>
      </w:r>
      <w:r>
        <w:rPr>
          <w:b/>
          <w:bCs/>
        </w:rPr>
        <w:t xml:space="preserve">human exposure:</w:t>
      </w:r>
      <w:r>
        <w:t xml:space="preserve"> </w:t>
      </w:r>
      <w:r>
        <w:t xml:space="preserve">NSW “Assessing Vibration” guideline</w:t>
      </w:r>
      <w:r>
        <w:t xml:space="preserve"> </w:t>
      </w:r>
      <w:hyperlink r:id="rId30">
        <w:r>
          <w:rPr>
            <w:rStyle w:val="Hyperlink"/>
          </w:rPr>
          <w:t xml:space="preserve">[8]</w:t>
        </w:r>
      </w:hyperlink>
    </w:p>
    <w:bookmarkEnd w:id="50"/>
    <w:bookmarkEnd w:id="51"/>
    <w:bookmarkStart w:id="58" w:name="X8affa5332c72a0dc3089db850eeed43360192e3"/>
    <w:p>
      <w:pPr>
        <w:pStyle w:val="Heading2"/>
      </w:pPr>
      <w:r>
        <w:t xml:space="preserve">Numeric vibration limits commonly specified in NSW construction controls</w:t>
      </w:r>
    </w:p>
    <w:bookmarkStart w:id="52" w:name="din-4150-3-structural-vibration-limits"/>
    <w:p>
      <w:pPr>
        <w:pStyle w:val="Heading3"/>
      </w:pPr>
      <w:r>
        <w:t xml:space="preserve">DIN 4150-3 structural vibration limits</w:t>
      </w:r>
    </w:p>
    <w:p>
      <w:pPr>
        <w:pStyle w:val="FirstParagraph"/>
      </w:pPr>
      <w:r>
        <w:t xml:space="preserve">DIN 4150-3 is widely referenced in NSW conditions and monitoring plans as a</w:t>
      </w:r>
      <w:r>
        <w:t xml:space="preserve"> </w:t>
      </w:r>
      <w:r>
        <w:rPr>
          <w:b/>
          <w:bCs/>
        </w:rPr>
        <w:t xml:space="preserve">frequency-dependent PPV</w:t>
      </w:r>
      <w:r>
        <w:t xml:space="preserve"> </w:t>
      </w:r>
      <w:r>
        <w:t xml:space="preserve">criterion (often measured at the foundation; and sometimes at the uppermost storey). A NSW project vibration monitoring report reproduces the commonly used DIN 4150-3 table as follows.</w:t>
      </w:r>
      <w:r>
        <w:t xml:space="preserve"> </w:t>
      </w:r>
      <w:hyperlink r:id="rId47">
        <w:r>
          <w:rPr>
            <w:rStyle w:val="Hyperlink"/>
          </w:rPr>
          <w:t xml:space="preserve">[35]</w:t>
        </w:r>
      </w:hyperlink>
    </w:p>
    <w:p>
      <w:pPr>
        <w:pStyle w:val="BodyText"/>
      </w:pPr>
      <w:r>
        <w:rPr>
          <w:b/>
          <w:bCs/>
        </w:rPr>
        <w:t xml:space="preserve">DIN 4150-3 (short-term vibration) guideline values (PPV, mm/s)</w:t>
      </w:r>
      <w:r>
        <w:t xml:space="preserve"> </w:t>
      </w:r>
      <w:hyperlink r:id="rId47">
        <w:r>
          <w:rPr>
            <w:rStyle w:val="Hyperlink"/>
          </w:rPr>
          <w:t xml:space="preserve">[35]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 type (DIN line)</w:t>
            </w:r>
          </w:p>
        </w:tc>
        <w:tc>
          <w:tcPr/>
          <w:p>
            <w:pPr>
              <w:pStyle w:val="Compact"/>
              <w:jc w:val="right"/>
            </w:pPr>
            <w:r>
              <w:t xml:space="preserve">Foundation PPV &lt;10 Hz</w:t>
            </w:r>
          </w:p>
        </w:tc>
        <w:tc>
          <w:tcPr/>
          <w:p>
            <w:pPr>
              <w:pStyle w:val="Compact"/>
              <w:jc w:val="right"/>
            </w:pPr>
            <w:r>
              <w:t xml:space="preserve">Foundation PPV 10–50 Hz</w:t>
            </w:r>
          </w:p>
        </w:tc>
        <w:tc>
          <w:tcPr/>
          <w:p>
            <w:pPr>
              <w:pStyle w:val="Compact"/>
              <w:jc w:val="right"/>
            </w:pPr>
            <w:r>
              <w:t xml:space="preserve">Foundation PPV 50–100 Hz</w:t>
            </w:r>
          </w:p>
        </w:tc>
        <w:tc>
          <w:tcPr/>
          <w:p>
            <w:pPr>
              <w:pStyle w:val="Compact"/>
              <w:jc w:val="right"/>
            </w:pPr>
            <w:r>
              <w:t xml:space="preserve">Uppermost storey (plane of floor) all frequencies</w:t>
            </w:r>
          </w:p>
        </w:tc>
      </w:tr>
      <w:tr>
        <w:tc>
          <w:tcPr/>
          <w:p>
            <w:pPr>
              <w:pStyle w:val="Compact"/>
            </w:pPr>
            <w:r>
              <w:t xml:space="preserve">Commercial/industrial/similar</w:t>
            </w:r>
          </w:p>
        </w:tc>
        <w:tc>
          <w:tcPr/>
          <w:p>
            <w:pPr>
              <w:pStyle w:val="Compact"/>
              <w:jc w:val="right"/>
            </w:pPr>
            <w:r>
              <w:t xml:space="preserve">20</w:t>
            </w:r>
          </w:p>
        </w:tc>
        <w:tc>
          <w:tcPr/>
          <w:p>
            <w:pPr>
              <w:pStyle w:val="Compact"/>
              <w:jc w:val="right"/>
            </w:pPr>
            <w:r>
              <w:t xml:space="preserve">20–40</w:t>
            </w:r>
          </w:p>
        </w:tc>
        <w:tc>
          <w:tcPr/>
          <w:p>
            <w:pPr>
              <w:pStyle w:val="Compact"/>
              <w:jc w:val="right"/>
            </w:pPr>
            <w:r>
              <w:t xml:space="preserve">40–50</w:t>
            </w:r>
          </w:p>
        </w:tc>
        <w:tc>
          <w:tcPr/>
          <w:p>
            <w:pPr>
              <w:pStyle w:val="Compact"/>
              <w:jc w:val="right"/>
            </w:pPr>
            <w:r>
              <w:t xml:space="preserve">40</w:t>
            </w:r>
          </w:p>
        </w:tc>
      </w:tr>
      <w:tr>
        <w:tc>
          <w:tcPr/>
          <w:p>
            <w:pPr>
              <w:pStyle w:val="Compact"/>
            </w:pPr>
            <w:r>
              <w:t xml:space="preserve">Dwellings/residential/similar</w:t>
            </w:r>
          </w:p>
        </w:tc>
        <w:tc>
          <w:tcPr/>
          <w:p>
            <w:pPr>
              <w:pStyle w:val="Compact"/>
              <w:jc w:val="right"/>
            </w:pPr>
            <w:r>
              <w:t xml:space="preserve">5</w:t>
            </w:r>
          </w:p>
        </w:tc>
        <w:tc>
          <w:tcPr/>
          <w:p>
            <w:pPr>
              <w:pStyle w:val="Compact"/>
              <w:jc w:val="right"/>
            </w:pPr>
            <w:r>
              <w:t xml:space="preserve">5–15</w:t>
            </w:r>
          </w:p>
        </w:tc>
        <w:tc>
          <w:tcPr/>
          <w:p>
            <w:pPr>
              <w:pStyle w:val="Compact"/>
              <w:jc w:val="right"/>
            </w:pPr>
            <w:r>
              <w:t xml:space="preserve">15–20</w:t>
            </w:r>
          </w:p>
        </w:tc>
        <w:tc>
          <w:tcPr/>
          <w:p>
            <w:pPr>
              <w:pStyle w:val="Compact"/>
              <w:jc w:val="right"/>
            </w:pPr>
            <w:r>
              <w:t xml:space="preserve">15</w:t>
            </w:r>
          </w:p>
        </w:tc>
      </w:tr>
      <w:tr>
        <w:tc>
          <w:tcPr/>
          <w:p>
            <w:pPr>
              <w:pStyle w:val="Compact"/>
            </w:pPr>
            <w:r>
              <w:t xml:space="preserve">Particularly sensitive/intrinsic value (e.g. preservation order)</w:t>
            </w:r>
          </w:p>
        </w:tc>
        <w:tc>
          <w:tcPr/>
          <w:p>
            <w:pPr>
              <w:pStyle w:val="Compact"/>
              <w:jc w:val="right"/>
            </w:pPr>
            <w:r>
              <w:t xml:space="preserve">3</w:t>
            </w:r>
          </w:p>
        </w:tc>
        <w:tc>
          <w:tcPr/>
          <w:p>
            <w:pPr>
              <w:pStyle w:val="Compact"/>
              <w:jc w:val="right"/>
            </w:pPr>
            <w:r>
              <w:t xml:space="preserve">3–8</w:t>
            </w:r>
          </w:p>
        </w:tc>
        <w:tc>
          <w:tcPr/>
          <w:p>
            <w:pPr>
              <w:pStyle w:val="Compact"/>
              <w:jc w:val="right"/>
            </w:pPr>
            <w:r>
              <w:t xml:space="preserve">8–10</w:t>
            </w:r>
          </w:p>
        </w:tc>
        <w:tc>
          <w:tcPr/>
          <w:p>
            <w:pPr>
              <w:pStyle w:val="Compact"/>
              <w:jc w:val="right"/>
            </w:pPr>
            <w:r>
              <w:t xml:space="preserve">8</w:t>
            </w:r>
          </w:p>
        </w:tc>
      </w:tr>
    </w:tbl>
    <w:p>
      <w:pPr>
        <w:pStyle w:val="BodyText"/>
      </w:pPr>
      <w:r>
        <w:t xml:space="preserve">These DIN values are typically applied as</w:t>
      </w:r>
      <w:r>
        <w:t xml:space="preserve"> </w:t>
      </w:r>
      <w:r>
        <w:rPr>
          <w:b/>
          <w:bCs/>
        </w:rPr>
        <w:t xml:space="preserve">cosmetic damage screening criteria</w:t>
      </w:r>
      <w:r>
        <w:t xml:space="preserve">; “annoyance/human response” criteria are substantially lower and are controlled separately (VDV or other human exposure metrics).</w:t>
      </w:r>
      <w:r>
        <w:t xml:space="preserve"> </w:t>
      </w:r>
      <w:hyperlink r:id="rId47">
        <w:r>
          <w:rPr>
            <w:rStyle w:val="Hyperlink"/>
          </w:rPr>
          <w:t xml:space="preserve">[36]</w:t>
        </w:r>
      </w:hyperlink>
    </w:p>
    <w:bookmarkEnd w:id="52"/>
    <w:bookmarkStart w:id="54" w:name="bs-7385-cosmetic-damage-guide-values"/>
    <w:p>
      <w:pPr>
        <w:pStyle w:val="Heading3"/>
      </w:pPr>
      <w:r>
        <w:t xml:space="preserve">BS 7385 cosmetic damage guide values</w:t>
      </w:r>
    </w:p>
    <w:p>
      <w:pPr>
        <w:pStyle w:val="FirstParagraph"/>
      </w:pPr>
      <w:r>
        <w:t xml:space="preserve">BS 7385 is also widely used in NSW practice for cosmetic damage screening (often for non-heritage structures). A City of Sydney assessment report reproduces typical BS 7385 guide values for</w:t>
      </w:r>
      <w:r>
        <w:t xml:space="preserve"> </w:t>
      </w:r>
      <w:r>
        <w:rPr>
          <w:b/>
          <w:bCs/>
        </w:rPr>
        <w:t xml:space="preserve">transient</w:t>
      </w:r>
      <w:r>
        <w:t xml:space="preserve"> </w:t>
      </w:r>
      <w:r>
        <w:t xml:space="preserve">and</w:t>
      </w:r>
      <w:r>
        <w:t xml:space="preserve"> </w:t>
      </w:r>
      <w:r>
        <w:rPr>
          <w:b/>
          <w:bCs/>
        </w:rPr>
        <w:t xml:space="preserve">continuous</w:t>
      </w:r>
      <w:r>
        <w:t xml:space="preserve"> </w:t>
      </w:r>
      <w:r>
        <w:t xml:space="preserve">vibration (PPV), noting conservatism and dependence on structural characteristics/frequency content.</w:t>
      </w:r>
      <w:r>
        <w:t xml:space="preserve"> </w:t>
      </w:r>
      <w:hyperlink r:id="rId53">
        <w:r>
          <w:rPr>
            <w:rStyle w:val="Hyperlink"/>
          </w:rPr>
          <w:t xml:space="preserve">[37]</w:t>
        </w:r>
      </w:hyperlink>
    </w:p>
    <w:p>
      <w:pPr>
        <w:pStyle w:val="BodyText"/>
      </w:pPr>
      <w:r>
        <w:rPr>
          <w:b/>
          <w:bCs/>
        </w:rPr>
        <w:t xml:space="preserve">BS 7385-2 cosmetic damage guide values (PPV, mm/s)</w:t>
      </w:r>
      <w:r>
        <w:t xml:space="preserve"> </w:t>
      </w:r>
      <w:hyperlink r:id="rId53">
        <w:r>
          <w:rPr>
            <w:rStyle w:val="Hyperlink"/>
          </w:rPr>
          <w:t xml:space="preserve">[37]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Building type</w:t>
            </w:r>
          </w:p>
        </w:tc>
        <w:tc>
          <w:tcPr/>
          <w:p>
            <w:pPr>
              <w:pStyle w:val="Compact"/>
            </w:pPr>
            <w:r>
              <w:t xml:space="preserve">Transient vibration (PPV)</w:t>
            </w:r>
          </w:p>
        </w:tc>
        <w:tc>
          <w:tcPr/>
          <w:p>
            <w:pPr>
              <w:pStyle w:val="Compact"/>
            </w:pPr>
            <w:r>
              <w:t xml:space="preserve">Continuous vibration (PPV)</w:t>
            </w:r>
          </w:p>
        </w:tc>
      </w:tr>
      <w:tr>
        <w:tc>
          <w:tcPr/>
          <w:p>
            <w:pPr>
              <w:pStyle w:val="Compact"/>
            </w:pPr>
            <w:r>
              <w:t xml:space="preserve">Reinforced/framed industrial and heavy commercial</w:t>
            </w:r>
          </w:p>
        </w:tc>
        <w:tc>
          <w:tcPr/>
          <w:p>
            <w:pPr>
              <w:pStyle w:val="Compact"/>
            </w:pPr>
            <w:r>
              <w:t xml:space="preserve">50 mm/s at 4 Hz and above</w:t>
            </w:r>
          </w:p>
        </w:tc>
        <w:tc>
          <w:tcPr/>
          <w:p>
            <w:pPr>
              <w:pStyle w:val="Compact"/>
            </w:pPr>
            <w:r>
              <w:t xml:space="preserve">25 mm/s at 4 Hz and above</w:t>
            </w:r>
          </w:p>
        </w:tc>
      </w:tr>
      <w:tr>
        <w:tc>
          <w:tcPr/>
          <w:p>
            <w:pPr>
              <w:pStyle w:val="Compact"/>
            </w:pPr>
            <w:r>
              <w:t xml:space="preserve">Unreinforced/light framed residential or light commercial</w:t>
            </w:r>
          </w:p>
        </w:tc>
        <w:tc>
          <w:tcPr/>
          <w:p>
            <w:pPr>
              <w:pStyle w:val="Compact"/>
            </w:pPr>
            <w:r>
              <w:t xml:space="preserve">15 mm/s at 4 Hz increasing to 20 mm/s at 15 Hz; and 20 mm/s at 15 Hz increasing to 50 mm/s at 40 Hz and above</w:t>
            </w:r>
          </w:p>
        </w:tc>
        <w:tc>
          <w:tcPr/>
          <w:p>
            <w:pPr>
              <w:pStyle w:val="Compact"/>
            </w:pPr>
            <w:r>
              <w:t xml:space="preserve">7.5 mm/s at 4 Hz increasing to 10 mm/s at 15 Hz; and 10 mm/s at 15 Hz increasing to 25 mm/s at 40 Hz and above</w:t>
            </w:r>
          </w:p>
        </w:tc>
      </w:tr>
    </w:tbl>
    <w:bookmarkEnd w:id="54"/>
    <w:bookmarkStart w:id="57" w:name="X93a3b0c99d78115da29fef533de55bdf7210c3b"/>
    <w:p>
      <w:pPr>
        <w:pStyle w:val="Heading3"/>
      </w:pPr>
      <w:r>
        <w:t xml:space="preserve">Typical “NSW monitoring plan” PPV trigger levels</w:t>
      </w:r>
    </w:p>
    <w:p>
      <w:pPr>
        <w:pStyle w:val="FirstParagraph"/>
      </w:pPr>
      <w:r>
        <w:t xml:space="preserve">While DIN/BS provide the technical basis, many NSW CNVMPs simplify field management using</w:t>
      </w:r>
      <w:r>
        <w:t xml:space="preserve"> </w:t>
      </w:r>
      <w:r>
        <w:rPr>
          <w:b/>
          <w:bCs/>
        </w:rPr>
        <w:t xml:space="preserve">warning</w:t>
      </w:r>
      <w:r>
        <w:t xml:space="preserve"> </w:t>
      </w:r>
      <w:r>
        <w:t xml:space="preserve">and</w:t>
      </w:r>
      <w:r>
        <w:t xml:space="preserve"> </w:t>
      </w:r>
      <w:r>
        <w:rPr>
          <w:b/>
          <w:bCs/>
        </w:rPr>
        <w:t xml:space="preserve">halt/stop-work</w:t>
      </w:r>
      <w:r>
        <w:t xml:space="preserve"> </w:t>
      </w:r>
      <w:r>
        <w:t xml:space="preserve">trigger levels. Examples include:</w:t>
      </w:r>
    </w:p>
    <w:p>
      <w:pPr>
        <w:pStyle w:val="Compact"/>
        <w:numPr>
          <w:ilvl w:val="0"/>
          <w:numId w:val="1001"/>
        </w:numPr>
      </w:pPr>
      <w:r>
        <w:t xml:space="preserve">A NSW monitoring report identifies a</w:t>
      </w:r>
      <w:r>
        <w:t xml:space="preserve"> </w:t>
      </w:r>
      <w:r>
        <w:rPr>
          <w:b/>
          <w:bCs/>
        </w:rPr>
        <w:t xml:space="preserve">5 mm/s alert level</w:t>
      </w:r>
      <w:r>
        <w:t xml:space="preserve"> </w:t>
      </w:r>
      <w:r>
        <w:t xml:space="preserve">and</w:t>
      </w:r>
      <w:r>
        <w:t xml:space="preserve"> </w:t>
      </w:r>
      <w:r>
        <w:rPr>
          <w:b/>
          <w:bCs/>
        </w:rPr>
        <w:t xml:space="preserve">7 mm/s alarm (stop work) level</w:t>
      </w:r>
      <w:r>
        <w:t xml:space="preserve"> </w:t>
      </w:r>
      <w:r>
        <w:t xml:space="preserve">for a residential DIN curve application.</w:t>
      </w:r>
      <w:r>
        <w:t xml:space="preserve"> </w:t>
      </w:r>
      <w:hyperlink r:id="rId47">
        <w:r>
          <w:rPr>
            <w:rStyle w:val="Hyperlink"/>
          </w:rPr>
          <w:t xml:space="preserve">[35]</w:t>
        </w:r>
      </w:hyperlink>
    </w:p>
    <w:p>
      <w:pPr>
        <w:pStyle w:val="Compact"/>
        <w:numPr>
          <w:ilvl w:val="0"/>
          <w:numId w:val="1001"/>
        </w:numPr>
      </w:pPr>
      <w:r>
        <w:t xml:space="preserve">A major public infrastructure strategy example (project-specific) nominates warning/halt PPVs such as</w:t>
      </w:r>
      <w:r>
        <w:t xml:space="preserve"> </w:t>
      </w:r>
      <w:r>
        <w:rPr>
          <w:b/>
          <w:bCs/>
        </w:rPr>
        <w:t xml:space="preserve">20/25 mm/s</w:t>
      </w:r>
      <w:r>
        <w:t xml:space="preserve"> </w:t>
      </w:r>
      <w:r>
        <w:t xml:space="preserve">(reinforced),</w:t>
      </w:r>
      <w:r>
        <w:t xml:space="preserve"> </w:t>
      </w:r>
      <w:r>
        <w:rPr>
          <w:b/>
          <w:bCs/>
        </w:rPr>
        <w:t xml:space="preserve">5/7.5 mm/s</w:t>
      </w:r>
      <w:r>
        <w:t xml:space="preserve"> </w:t>
      </w:r>
      <w:r>
        <w:t xml:space="preserve">(unreinforced), and</w:t>
      </w:r>
      <w:r>
        <w:t xml:space="preserve"> </w:t>
      </w:r>
      <w:r>
        <w:rPr>
          <w:b/>
          <w:bCs/>
        </w:rPr>
        <w:t xml:space="preserve">1.5/2.5 mm/s</w:t>
      </w:r>
      <w:r>
        <w:t xml:space="preserve"> </w:t>
      </w:r>
      <w:r>
        <w:t xml:space="preserve">(heritage).</w:t>
      </w:r>
      <w:r>
        <w:t xml:space="preserve"> </w:t>
      </w:r>
      <w:hyperlink r:id="rId55">
        <w:r>
          <w:rPr>
            <w:rStyle w:val="Hyperlink"/>
          </w:rPr>
          <w:t xml:space="preserve">[38]</w:t>
        </w:r>
      </w:hyperlink>
    </w:p>
    <w:p>
      <w:pPr>
        <w:pStyle w:val="Compact"/>
        <w:numPr>
          <w:ilvl w:val="0"/>
          <w:numId w:val="1001"/>
        </w:numPr>
      </w:pPr>
      <w:r>
        <w:t xml:space="preserve">A Sydney Metro West package NVMP example adopts a conservative</w:t>
      </w:r>
      <w:r>
        <w:t xml:space="preserve"> </w:t>
      </w:r>
      <w:r>
        <w:rPr>
          <w:b/>
          <w:bCs/>
        </w:rPr>
        <w:t xml:space="preserve">2.5 mm/s</w:t>
      </w:r>
      <w:r>
        <w:t xml:space="preserve"> </w:t>
      </w:r>
      <w:r>
        <w:t xml:space="preserve">screening level for heritage/sensitive structures in accordance with approval conditions.</w:t>
      </w:r>
      <w:r>
        <w:t xml:space="preserve"> </w:t>
      </w:r>
      <w:hyperlink r:id="rId56">
        <w:r>
          <w:rPr>
            <w:rStyle w:val="Hyperlink"/>
          </w:rPr>
          <w:t xml:space="preserve">[39]</w:t>
        </w:r>
      </w:hyperlink>
    </w:p>
    <w:p>
      <w:pPr>
        <w:pStyle w:val="FirstParagraph"/>
      </w:pPr>
      <w:r>
        <w:t xml:space="preserve">These project trigger levels are</w:t>
      </w:r>
      <w:r>
        <w:t xml:space="preserve"> </w:t>
      </w:r>
      <w:r>
        <w:rPr>
          <w:b/>
          <w:bCs/>
        </w:rPr>
        <w:t xml:space="preserve">not statewide defaults</w:t>
      </w:r>
      <w:r>
        <w:t xml:space="preserve">; they are typically set to be consistent with (or more conservative than) DIN/BS screening and to provide operational “buffer” before exceedance of consent criteria.</w:t>
      </w:r>
      <w:r>
        <w:t xml:space="preserve"> </w:t>
      </w:r>
      <w:hyperlink r:id="rId55">
        <w:r>
          <w:rPr>
            <w:rStyle w:val="Hyperlink"/>
          </w:rPr>
          <w:t xml:space="preserve">[40]</w:t>
        </w:r>
      </w:hyperlink>
    </w:p>
    <w:bookmarkEnd w:id="57"/>
    <w:bookmarkEnd w:id="58"/>
    <w:bookmarkStart w:id="61" w:name="X5859bcdeb5ab64ec7721e8da0518ce1ab6e9b1b"/>
    <w:p>
      <w:pPr>
        <w:pStyle w:val="Heading2"/>
      </w:pPr>
      <w:r>
        <w:t xml:space="preserve">Blasting vibration and airblast criteria in NSW construction</w:t>
      </w:r>
    </w:p>
    <w:p>
      <w:pPr>
        <w:pStyle w:val="FirstParagraph"/>
      </w:pPr>
      <w:r>
        <w:t xml:space="preserve">Blasting is treated distinctly in NSW guidance, and construction conditions often adopt criteria that originated for mining and quarry contexts but are widely applied for construction blasting where relevant.</w:t>
      </w:r>
    </w:p>
    <w:p>
      <w:pPr>
        <w:pStyle w:val="BodyText"/>
      </w:pPr>
      <w:r>
        <w:t xml:space="preserve">The ANZEC “Technical basis” document (hosted by the NSW EPA) states the recommended criteria are</w:t>
      </w:r>
      <w:r>
        <w:t xml:space="preserve"> </w:t>
      </w:r>
      <w:r>
        <w:rPr>
          <w:b/>
          <w:bCs/>
        </w:rPr>
        <w:t xml:space="preserve">for guidance only</w:t>
      </w:r>
      <w:r>
        <w:t xml:space="preserve"> </w:t>
      </w:r>
      <w:r>
        <w:t xml:space="preserve">and provides the commonly adopted limits.</w:t>
      </w:r>
      <w:r>
        <w:t xml:space="preserve"> </w:t>
      </w:r>
      <w:hyperlink r:id="rId22">
        <w:r>
          <w:rPr>
            <w:rStyle w:val="Hyperlink"/>
          </w:rPr>
          <w:t xml:space="preserve">[41]</w:t>
        </w:r>
      </w:hyperlink>
    </w:p>
    <w:bookmarkStart w:id="59" w:name="X03218b4cf99decd34a72cb6c2561f6233c7e849"/>
    <w:p>
      <w:pPr>
        <w:pStyle w:val="Heading3"/>
      </w:pPr>
      <w:r>
        <w:t xml:space="preserve">ANZEC recommended blasting criteria (amenity-focused)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jc w:val="right"/>
            </w:pPr>
            <w:r>
              <w:t xml:space="preserve">Standard criterion</w:t>
            </w:r>
          </w:p>
        </w:tc>
        <w:tc>
          <w:tcPr/>
          <w:p>
            <w:pPr>
              <w:pStyle w:val="Compact"/>
              <w:jc w:val="right"/>
            </w:pPr>
            <w:r>
              <w:t xml:space="preserve">Allowable exceedance</w:t>
            </w:r>
          </w:p>
        </w:tc>
        <w:tc>
          <w:tcPr/>
          <w:p>
            <w:pPr>
              <w:pStyle w:val="Compact"/>
              <w:jc w:val="right"/>
            </w:pPr>
            <w:r>
              <w:t xml:space="preserve">Absolute maximum</w:t>
            </w:r>
          </w:p>
        </w:tc>
        <w:tc>
          <w:tcPr/>
          <w:p>
            <w:pPr>
              <w:pStyle w:val="Compact"/>
            </w:pPr>
            <w:r>
              <w:t xml:space="preserve">Source</w:t>
            </w:r>
          </w:p>
        </w:tc>
      </w:tr>
      <w:tr>
        <w:tc>
          <w:tcPr/>
          <w:p>
            <w:pPr>
              <w:pStyle w:val="Compact"/>
            </w:pPr>
            <w:r>
              <w:t xml:space="preserve">Airblast overpressure</w:t>
            </w:r>
          </w:p>
        </w:tc>
        <w:tc>
          <w:tcPr/>
          <w:p>
            <w:pPr>
              <w:pStyle w:val="Compact"/>
              <w:jc w:val="right"/>
            </w:pPr>
            <w:r>
              <w:rPr>
                <w:b/>
                <w:bCs/>
              </w:rPr>
              <w:t xml:space="preserve">115 dB (Lin Peak)</w:t>
            </w:r>
          </w:p>
        </w:tc>
        <w:tc>
          <w:tcPr/>
          <w:p>
            <w:pPr>
              <w:pStyle w:val="Compact"/>
              <w:jc w:val="right"/>
            </w:pPr>
            <w:r>
              <w:t xml:space="preserve">May be exceeded on up to</w:t>
            </w:r>
            <w:r>
              <w:t xml:space="preserve"> </w:t>
            </w:r>
            <w:r>
              <w:rPr>
                <w:b/>
                <w:bCs/>
              </w:rPr>
              <w:t xml:space="preserve">5%</w:t>
            </w:r>
            <w:r>
              <w:t xml:space="preserve"> </w:t>
            </w:r>
            <w:r>
              <w:t xml:space="preserve">of blasts over 12 months</w:t>
            </w:r>
          </w:p>
        </w:tc>
        <w:tc>
          <w:tcPr/>
          <w:p>
            <w:pPr>
              <w:pStyle w:val="Compact"/>
              <w:jc w:val="right"/>
            </w:pPr>
            <w:r>
              <w:rPr>
                <w:b/>
                <w:bCs/>
              </w:rPr>
              <w:t xml:space="preserve">120 dB (Lin Peak)</w:t>
            </w:r>
            <w:r>
              <w:t xml:space="preserve"> </w:t>
            </w:r>
            <w:r>
              <w:t xml:space="preserve">at any time</w:t>
            </w:r>
          </w:p>
        </w:tc>
        <w:tc>
          <w:tcPr/>
          <w:p>
            <w:pPr>
              <w:pStyle w:val="Compact"/>
            </w:pPr>
            <w:hyperlink r:id="rId22">
              <w:r>
                <w:rPr>
                  <w:rStyle w:val="Hyperlink"/>
                </w:rPr>
                <w:t xml:space="preserve">[42]</w:t>
              </w:r>
            </w:hyperlink>
          </w:p>
        </w:tc>
      </w:tr>
      <w:tr>
        <w:tc>
          <w:tcPr/>
          <w:p>
            <w:pPr>
              <w:pStyle w:val="Compact"/>
            </w:pPr>
            <w:r>
              <w:t xml:space="preserve">Ground vibration</w:t>
            </w:r>
          </w:p>
        </w:tc>
        <w:tc>
          <w:tcPr/>
          <w:p>
            <w:pPr>
              <w:pStyle w:val="Compact"/>
              <w:jc w:val="right"/>
            </w:pPr>
            <w:r>
              <w:rPr>
                <w:b/>
                <w:bCs/>
              </w:rPr>
              <w:t xml:space="preserve">5 mm/s PPV</w:t>
            </w:r>
          </w:p>
        </w:tc>
        <w:tc>
          <w:tcPr/>
          <w:p>
            <w:pPr>
              <w:pStyle w:val="Compact"/>
              <w:jc w:val="right"/>
            </w:pPr>
            <w:r>
              <w:t xml:space="preserve">May be exceeded on up to</w:t>
            </w:r>
            <w:r>
              <w:t xml:space="preserve"> </w:t>
            </w:r>
            <w:r>
              <w:rPr>
                <w:b/>
                <w:bCs/>
              </w:rPr>
              <w:t xml:space="preserve">5%</w:t>
            </w:r>
            <w:r>
              <w:t xml:space="preserve"> </w:t>
            </w:r>
            <w:r>
              <w:t xml:space="preserve">of blasts over 12 months</w:t>
            </w:r>
          </w:p>
        </w:tc>
        <w:tc>
          <w:tcPr/>
          <w:p>
            <w:pPr>
              <w:pStyle w:val="Compact"/>
              <w:jc w:val="right"/>
            </w:pPr>
            <w:r>
              <w:rPr>
                <w:b/>
                <w:bCs/>
              </w:rPr>
              <w:t xml:space="preserve">10 mm/s PPV</w:t>
            </w:r>
            <w:r>
              <w:t xml:space="preserve"> </w:t>
            </w:r>
            <w:r>
              <w:t xml:space="preserve">at any time</w:t>
            </w:r>
          </w:p>
        </w:tc>
        <w:tc>
          <w:tcPr/>
          <w:p>
            <w:pPr>
              <w:pStyle w:val="Compact"/>
            </w:pPr>
            <w:hyperlink r:id="rId22">
              <w:r>
                <w:rPr>
                  <w:rStyle w:val="Hyperlink"/>
                </w:rPr>
                <w:t xml:space="preserve">[43]</w:t>
              </w:r>
            </w:hyperlink>
          </w:p>
        </w:tc>
      </w:tr>
      <w:tr>
        <w:tc>
          <w:tcPr/>
          <w:p>
            <w:pPr>
              <w:pStyle w:val="Compact"/>
            </w:pPr>
            <w:r>
              <w:t xml:space="preserve">Long-term goal (ground vibration)</w:t>
            </w:r>
          </w:p>
        </w:tc>
        <w:tc>
          <w:tcPr/>
          <w:p>
            <w:pPr>
              <w:pStyle w:val="Compact"/>
              <w:jc w:val="right"/>
            </w:pPr>
            <w:r>
              <w:rPr>
                <w:b/>
                <w:bCs/>
              </w:rPr>
              <w:t xml:space="preserve">2 mm/s PPV</w:t>
            </w:r>
          </w:p>
        </w:tc>
        <w:tc>
          <w:tcPr/>
          <w:p>
            <w:pPr>
              <w:pStyle w:val="Compact"/>
              <w:jc w:val="right"/>
            </w:pPr>
            <w:r>
              <w:t xml:space="preserve">—</w:t>
            </w:r>
          </w:p>
        </w:tc>
        <w:tc>
          <w:tcPr/>
          <w:p>
            <w:pPr>
              <w:pStyle w:val="Compact"/>
              <w:jc w:val="right"/>
            </w:pPr>
            <w:r>
              <w:t xml:space="preserve">—</w:t>
            </w:r>
          </w:p>
        </w:tc>
        <w:tc>
          <w:tcPr/>
          <w:p>
            <w:pPr>
              <w:pStyle w:val="Compact"/>
            </w:pPr>
            <w:hyperlink r:id="rId22">
              <w:r>
                <w:rPr>
                  <w:rStyle w:val="Hyperlink"/>
                </w:rPr>
                <w:t xml:space="preserve">[43]</w:t>
              </w:r>
            </w:hyperlink>
          </w:p>
        </w:tc>
      </w:tr>
    </w:tbl>
    <w:bookmarkEnd w:id="59"/>
    <w:bookmarkStart w:id="60" w:name="blasting-times-commonly-applied"/>
    <w:p>
      <w:pPr>
        <w:pStyle w:val="Heading3"/>
      </w:pPr>
      <w:r>
        <w:t xml:space="preserve">Blasting times commonly applied</w:t>
      </w:r>
    </w:p>
    <w:p>
      <w:pPr>
        <w:pStyle w:val="FirstParagraph"/>
      </w:pPr>
      <w:r>
        <w:t xml:space="preserve">ANZEC indicates blasting should generally only be permitted</w:t>
      </w:r>
      <w:r>
        <w:t xml:space="preserve"> </w:t>
      </w:r>
      <w:r>
        <w:rPr>
          <w:b/>
          <w:bCs/>
        </w:rPr>
        <w:t xml:space="preserve">9:00 am–5:00 pm Monday–Saturday</w:t>
      </w:r>
      <w:r>
        <w:t xml:space="preserve"> </w:t>
      </w:r>
      <w:r>
        <w:t xml:space="preserve">and not Sundays/public holidays.</w:t>
      </w:r>
      <w:r>
        <w:t xml:space="preserve"> </w:t>
      </w:r>
      <w:hyperlink r:id="rId22">
        <w:r>
          <w:rPr>
            <w:rStyle w:val="Hyperlink"/>
          </w:rPr>
          <w:t xml:space="preserve">[43]</w:t>
        </w:r>
      </w:hyperlink>
    </w:p>
    <w:p>
      <w:pPr>
        <w:pStyle w:val="BodyText"/>
      </w:pPr>
      <w:r>
        <w:t xml:space="preserve">This aligns with ICNG/draft “recommended blasting hours” (9–5 weekdays, 9–1 Saturdays).</w:t>
      </w:r>
      <w:r>
        <w:t xml:space="preserve"> </w:t>
      </w:r>
      <w:hyperlink r:id="rId36">
        <w:r>
          <w:rPr>
            <w:rStyle w:val="Hyperlink"/>
          </w:rPr>
          <w:t xml:space="preserve">[14]</w:t>
        </w:r>
      </w:hyperlink>
    </w:p>
    <w:p>
      <w:pPr>
        <w:pStyle w:val="BodyText"/>
      </w:pPr>
      <w:r>
        <w:t xml:space="preserve">A key NSW nuance is that the draft construction guideline explicitly notes ANZEC is appropriate for mines/quarries and should be viewed as good practice rather than “stringent criteria” when blasting is undertaken in the context of infrastructure construction, indicating scope for project-specific justification and conditioning.</w:t>
      </w:r>
      <w:r>
        <w:t xml:space="preserve"> </w:t>
      </w:r>
      <w:hyperlink r:id="rId34">
        <w:r>
          <w:rPr>
            <w:rStyle w:val="Hyperlink"/>
          </w:rPr>
          <w:t xml:space="preserve">[44]</w:t>
        </w:r>
      </w:hyperlink>
    </w:p>
    <w:bookmarkEnd w:id="60"/>
    <w:bookmarkEnd w:id="61"/>
    <w:bookmarkStart w:id="67" w:name="X3016d0bb7f98ce6d0775297e1cc99558b23c289"/>
    <w:p>
      <w:pPr>
        <w:pStyle w:val="Heading2"/>
      </w:pPr>
      <w:r>
        <w:t xml:space="preserve">Monitoring, CNVMP requirements, notifications, and reporting</w:t>
      </w:r>
    </w:p>
    <w:bookmarkStart w:id="62" w:name="X7c77327f60a87e1664902ddf425a242ec6cb613"/>
    <w:p>
      <w:pPr>
        <w:pStyle w:val="Heading3"/>
      </w:pPr>
      <w:r>
        <w:t xml:space="preserve">What a CNVMP should contain in NSW practice</w:t>
      </w:r>
    </w:p>
    <w:p>
      <w:pPr>
        <w:pStyle w:val="FirstParagraph"/>
      </w:pPr>
      <w:r>
        <w:t xml:space="preserve">In NSW, CNVMP content is commonly set by</w:t>
      </w:r>
      <w:r>
        <w:t xml:space="preserve"> </w:t>
      </w:r>
      <w:r>
        <w:rPr>
          <w:b/>
          <w:bCs/>
        </w:rPr>
        <w:t xml:space="preserve">conditions of consent/approval</w:t>
      </w:r>
      <w:r>
        <w:t xml:space="preserve"> </w:t>
      </w:r>
      <w:r>
        <w:t xml:space="preserve">(SSD/SSI) and then implemented through the project CEMP framework.</w:t>
      </w:r>
    </w:p>
    <w:p>
      <w:pPr>
        <w:pStyle w:val="BodyText"/>
      </w:pPr>
      <w:r>
        <w:t xml:space="preserve">A representative SSD consent condition set requires a CNVMP (as part of the CEMP) to:</w:t>
      </w:r>
      <w:r>
        <w:br/>
      </w:r>
      <w:r>
        <w:t xml:space="preserve">- be prepared by a suitably qualified and experienced noise expert;</w:t>
      </w:r>
      <w:r>
        <w:br/>
      </w:r>
      <w:r>
        <w:t xml:space="preserve">- describe procedures for achieving ICNG noise management levels; and</w:t>
      </w:r>
      <w:r>
        <w:br/>
      </w:r>
      <w:r>
        <w:t xml:space="preserve">- describe measures to manage high noise generating works in close proximity to sensitive receivers.</w:t>
      </w:r>
      <w:r>
        <w:t xml:space="preserve"> </w:t>
      </w:r>
      <w:hyperlink r:id="rId30">
        <w:r>
          <w:rPr>
            <w:rStyle w:val="Hyperlink"/>
          </w:rPr>
          <w:t xml:space="preserve">[8]</w:t>
        </w:r>
      </w:hyperlink>
    </w:p>
    <w:p>
      <w:pPr>
        <w:pStyle w:val="BodyText"/>
      </w:pPr>
      <w:r>
        <w:t xml:space="preserve">The NSW draft construction guideline also describes the “role” of construction noise management plans, including that they may consolidate consent/licence requirements and set detailed methods for mitigating and managing impacts (including out-of-hours strategies).</w:t>
      </w:r>
      <w:r>
        <w:t xml:space="preserve"> </w:t>
      </w:r>
      <w:hyperlink r:id="rId34">
        <w:r>
          <w:rPr>
            <w:rStyle w:val="Hyperlink"/>
          </w:rPr>
          <w:t xml:space="preserve">[45]</w:t>
        </w:r>
      </w:hyperlink>
    </w:p>
    <w:p>
      <w:pPr>
        <w:pStyle w:val="BodyText"/>
      </w:pPr>
      <w:r>
        <w:t xml:space="preserve">For platform design, the minimum CNVMP data model often needs to capture:</w:t>
      </w:r>
      <w:r>
        <w:t xml:space="preserve"> </w:t>
      </w:r>
      <w:r>
        <w:t xml:space="preserve">-</w:t>
      </w:r>
      <w:r>
        <w:t xml:space="preserve"> </w:t>
      </w:r>
      <w:r>
        <w:rPr>
          <w:b/>
          <w:bCs/>
        </w:rPr>
        <w:t xml:space="preserve">Receiver register</w:t>
      </w:r>
      <w:r>
        <w:t xml:space="preserve"> </w:t>
      </w:r>
      <w:r>
        <w:t xml:space="preserve">(residential + other sensitive receivers) and usage times;</w:t>
      </w:r>
      <w:r>
        <w:br/>
      </w:r>
      <w:r>
        <w:t xml:space="preserve">-</w:t>
      </w:r>
      <w:r>
        <w:t xml:space="preserve"> </w:t>
      </w:r>
      <w:r>
        <w:rPr>
          <w:b/>
          <w:bCs/>
        </w:rPr>
        <w:t xml:space="preserve">Construction staging and plant</w:t>
      </w:r>
      <w:r>
        <w:t xml:space="preserve"> </w:t>
      </w:r>
      <w:r>
        <w:t xml:space="preserve">(including high noise/vibration activities);</w:t>
      </w:r>
      <w:r>
        <w:br/>
      </w:r>
      <w:r>
        <w:t xml:space="preserve">-</w:t>
      </w:r>
      <w:r>
        <w:t xml:space="preserve"> </w:t>
      </w:r>
      <w:r>
        <w:rPr>
          <w:b/>
          <w:bCs/>
        </w:rPr>
        <w:t xml:space="preserve">Applicable criteria</w:t>
      </w:r>
      <w:r>
        <w:t xml:space="preserve"> </w:t>
      </w:r>
      <w:r>
        <w:t xml:space="preserve">(airborne, ground-borne, vibration—amenity and building damage) and the legal source (consent/licence/guideline);</w:t>
      </w:r>
      <w:r>
        <w:br/>
      </w:r>
      <w:r>
        <w:t xml:space="preserve">-</w:t>
      </w:r>
      <w:r>
        <w:t xml:space="preserve"> </w:t>
      </w:r>
      <w:r>
        <w:rPr>
          <w:b/>
          <w:bCs/>
        </w:rPr>
        <w:t xml:space="preserve">Feasible and reasonable mitigation</w:t>
      </w:r>
      <w:r>
        <w:t xml:space="preserve"> </w:t>
      </w:r>
      <w:r>
        <w:t xml:space="preserve">and decision logic (including respite);</w:t>
      </w:r>
      <w:r>
        <w:br/>
      </w:r>
      <w:r>
        <w:t xml:space="preserve">-</w:t>
      </w:r>
      <w:r>
        <w:t xml:space="preserve"> </w:t>
      </w:r>
      <w:r>
        <w:rPr>
          <w:b/>
          <w:bCs/>
        </w:rPr>
        <w:t xml:space="preserve">Monitoring plan</w:t>
      </w:r>
      <w:r>
        <w:t xml:space="preserve"> </w:t>
      </w:r>
      <w:r>
        <w:t xml:space="preserve">(attended/unattended, real-time where required, locations, instrumentation, calibration);</w:t>
      </w:r>
      <w:r>
        <w:br/>
      </w:r>
      <w:r>
        <w:t xml:space="preserve">-</w:t>
      </w:r>
      <w:r>
        <w:t xml:space="preserve"> </w:t>
      </w:r>
      <w:r>
        <w:rPr>
          <w:b/>
          <w:bCs/>
        </w:rPr>
        <w:t xml:space="preserve">Out-of-hours work justification and approval pathway</w:t>
      </w:r>
      <w:r>
        <w:t xml:space="preserve"> </w:t>
      </w:r>
      <w:r>
        <w:t xml:space="preserve">(including community engagement steps);</w:t>
      </w:r>
      <w:r>
        <w:br/>
      </w:r>
      <w:r>
        <w:t xml:space="preserve">-</w:t>
      </w:r>
      <w:r>
        <w:t xml:space="preserve"> </w:t>
      </w:r>
      <w:r>
        <w:rPr>
          <w:b/>
          <w:bCs/>
        </w:rPr>
        <w:t xml:space="preserve">Complaint handling and reporting</w:t>
      </w:r>
      <w:r>
        <w:t xml:space="preserve"> </w:t>
      </w:r>
      <w:r>
        <w:t xml:space="preserve">(process, response times, escalation, corrective actions).</w:t>
      </w:r>
      <w:r>
        <w:t xml:space="preserve"> </w:t>
      </w:r>
      <w:hyperlink r:id="rId34">
        <w:r>
          <w:rPr>
            <w:rStyle w:val="Hyperlink"/>
          </w:rPr>
          <w:t xml:space="preserve">[46]</w:t>
        </w:r>
      </w:hyperlink>
    </w:p>
    <w:bookmarkEnd w:id="62"/>
    <w:bookmarkStart w:id="63" w:name="X05c54a7cbb686bce36bc02471b012beb706b95c"/>
    <w:p>
      <w:pPr>
        <w:pStyle w:val="Heading3"/>
      </w:pPr>
      <w:r>
        <w:t xml:space="preserve">Trigger levels vs action levels vs limit levels</w:t>
      </w:r>
    </w:p>
    <w:p>
      <w:pPr>
        <w:pStyle w:val="FirstParagraph"/>
      </w:pPr>
      <w:r>
        <w:t xml:space="preserve">NSW guidance frequently uses “management levels” (rather than strict “limits”) and expects mitigation decisions based on exceedance</w:t>
      </w:r>
      <w:r>
        <w:t xml:space="preserve"> </w:t>
      </w:r>
      <w:r>
        <w:rPr>
          <w:i/>
          <w:iCs/>
        </w:rPr>
        <w:t xml:space="preserve">and feasibility/reasonableness</w:t>
      </w:r>
      <w:r>
        <w:t xml:space="preserve">.</w:t>
      </w:r>
    </w:p>
    <w:p>
      <w:pPr>
        <w:pStyle w:val="BodyText"/>
      </w:pPr>
      <w:r>
        <w:t xml:space="preserve">A practical mapping used in many CNVMPs (consistent with NSW terminology) is:</w:t>
      </w:r>
      <w:r>
        <w:t xml:space="preserve"> </w:t>
      </w:r>
      <w:r>
        <w:t xml:space="preserve">-</w:t>
      </w:r>
      <w:r>
        <w:t xml:space="preserve"> </w:t>
      </w:r>
      <w:r>
        <w:rPr>
          <w:b/>
          <w:bCs/>
        </w:rPr>
        <w:t xml:space="preserve">Limit / criterion level</w:t>
      </w:r>
      <w:r>
        <w:t xml:space="preserve">: the value that applies for compliance purposes under a consent/licence/notice (e.g., ICNG NMLs; DIN 4150-3 PPV; VDV maximum).</w:t>
      </w:r>
      <w:r>
        <w:t xml:space="preserve"> </w:t>
      </w:r>
      <w:hyperlink r:id="rId36">
        <w:r>
          <w:rPr>
            <w:rStyle w:val="Hyperlink"/>
          </w:rPr>
          <w:t xml:space="preserve">[47]</w:t>
        </w:r>
      </w:hyperlink>
      <w:r>
        <w:br/>
      </w:r>
      <w:r>
        <w:t xml:space="preserve">-</w:t>
      </w:r>
      <w:r>
        <w:t xml:space="preserve"> </w:t>
      </w:r>
      <w:r>
        <w:rPr>
          <w:b/>
          <w:bCs/>
        </w:rPr>
        <w:t xml:space="preserve">Trigger level</w:t>
      </w:r>
      <w:r>
        <w:t xml:space="preserve">: an early-warning threshold below the limit (often project-set) that prompts review or changes to methodology before reaching exceedance (e.g., “alert” PPV, “operator warning”).</w:t>
      </w:r>
      <w:r>
        <w:t xml:space="preserve"> </w:t>
      </w:r>
      <w:hyperlink r:id="rId47">
        <w:r>
          <w:rPr>
            <w:rStyle w:val="Hyperlink"/>
          </w:rPr>
          <w:t xml:space="preserve">[31]</w:t>
        </w:r>
      </w:hyperlink>
      <w:r>
        <w:br/>
      </w:r>
      <w:r>
        <w:t xml:space="preserve">-</w:t>
      </w:r>
      <w:r>
        <w:t xml:space="preserve"> </w:t>
      </w:r>
      <w:r>
        <w:rPr>
          <w:b/>
          <w:bCs/>
        </w:rPr>
        <w:t xml:space="preserve">Action / stop-work level</w:t>
      </w:r>
      <w:r>
        <w:t xml:space="preserve">: a threshold (sometimes equal to the criterion, sometimes slightly below) that forces immediate operational controls, and can require cessation of the vibration-intensive activity until rectified and verified.</w:t>
      </w:r>
      <w:r>
        <w:t xml:space="preserve"> </w:t>
      </w:r>
      <w:hyperlink r:id="rId47">
        <w:r>
          <w:rPr>
            <w:rStyle w:val="Hyperlink"/>
          </w:rPr>
          <w:t xml:space="preserve">[31]</w:t>
        </w:r>
      </w:hyperlink>
    </w:p>
    <w:bookmarkEnd w:id="63"/>
    <w:bookmarkStart w:id="64" w:name="Xf76914a557c883b19a0fffd25fbd7cccadbb5cf"/>
    <w:p>
      <w:pPr>
        <w:pStyle w:val="Heading3"/>
      </w:pPr>
      <w:r>
        <w:t xml:space="preserve">Notifications and community engagement expectations</w:t>
      </w:r>
    </w:p>
    <w:p>
      <w:pPr>
        <w:pStyle w:val="FirstParagraph"/>
      </w:pPr>
      <w:r>
        <w:t xml:space="preserve">ICNG requires notifying residents when predicted/measured noise exceeds “noise affected” levels, and expects stronger engagement/mitigation where “highly noise affected” levels are exceeded.</w:t>
      </w:r>
      <w:r>
        <w:t xml:space="preserve"> </w:t>
      </w:r>
      <w:hyperlink r:id="rId36">
        <w:r>
          <w:rPr>
            <w:rStyle w:val="Hyperlink"/>
          </w:rPr>
          <w:t xml:space="preserve">[15]</w:t>
        </w:r>
      </w:hyperlink>
    </w:p>
    <w:p>
      <w:pPr>
        <w:pStyle w:val="BodyText"/>
      </w:pPr>
      <w:r>
        <w:t xml:space="preserve">The draft guideline deepens this by:</w:t>
      </w:r>
      <w:r>
        <w:t xml:space="preserve"> </w:t>
      </w:r>
      <w:r>
        <w:t xml:space="preserve">- introducing a hierarchy of preferred work times when out-of-hours work is unavoidable,</w:t>
      </w:r>
      <w:r>
        <w:t xml:space="preserve"> </w:t>
      </w:r>
      <w:hyperlink r:id="rId34">
        <w:r>
          <w:rPr>
            <w:rStyle w:val="Hyperlink"/>
          </w:rPr>
          <w:t xml:space="preserve">[48]</w:t>
        </w:r>
      </w:hyperlink>
      <w:r>
        <w:br/>
      </w:r>
      <w:r>
        <w:t xml:space="preserve">- requiring justification for work outside standard hours, and</w:t>
      </w:r>
      <w:r>
        <w:t xml:space="preserve"> </w:t>
      </w:r>
      <w:hyperlink r:id="rId34">
        <w:r>
          <w:rPr>
            <w:rStyle w:val="Hyperlink"/>
          </w:rPr>
          <w:t xml:space="preserve">[48]</w:t>
        </w:r>
      </w:hyperlink>
      <w:r>
        <w:br/>
      </w:r>
      <w:r>
        <w:t xml:space="preserve">- linking higher out-of-hours noise levels (e.g., “highly noise affected” outside standard hours) to supplementary mitigation options such as respite periods and, where feasible and reasonable, alternative accommodation offers.</w:t>
      </w:r>
      <w:r>
        <w:t xml:space="preserve"> </w:t>
      </w:r>
      <w:hyperlink r:id="rId34">
        <w:r>
          <w:rPr>
            <w:rStyle w:val="Hyperlink"/>
          </w:rPr>
          <w:t xml:space="preserve">[17]</w:t>
        </w:r>
      </w:hyperlink>
    </w:p>
    <w:p>
      <w:pPr>
        <w:pStyle w:val="BodyText"/>
      </w:pPr>
      <w:r>
        <w:t xml:space="preserve">Many approvals make community notification and complaint contact details a visible on-site requirement.</w:t>
      </w:r>
      <w:r>
        <w:t xml:space="preserve"> </w:t>
      </w:r>
      <w:hyperlink r:id="rId30">
        <w:r>
          <w:rPr>
            <w:rStyle w:val="Hyperlink"/>
          </w:rPr>
          <w:t xml:space="preserve">[8]</w:t>
        </w:r>
      </w:hyperlink>
    </w:p>
    <w:bookmarkEnd w:id="64"/>
    <w:bookmarkStart w:id="66" w:name="Xac5cab2f602530955fd793693d193bcf79f79b8"/>
    <w:p>
      <w:pPr>
        <w:pStyle w:val="Heading3"/>
      </w:pPr>
      <w:r>
        <w:t xml:space="preserve">Real-time monitoring and complaints response patterns</w:t>
      </w:r>
    </w:p>
    <w:p>
      <w:pPr>
        <w:pStyle w:val="FirstParagraph"/>
      </w:pPr>
      <w:r>
        <w:t xml:space="preserve">Real-time vibration monitoring is typically required by</w:t>
      </w:r>
      <w:r>
        <w:t xml:space="preserve"> </w:t>
      </w:r>
      <w:r>
        <w:rPr>
          <w:b/>
          <w:bCs/>
        </w:rPr>
        <w:t xml:space="preserve">project conditions</w:t>
      </w:r>
      <w:r>
        <w:t xml:space="preserve"> </w:t>
      </w:r>
      <w:r>
        <w:t xml:space="preserve">or adopted for high-risk works near sensitive receivers; it is not a universal statewide obligation. For example, a NSW vibration monitoring report describes SMS/email alerting on preset trigger levels and reports that data are collated and reported monthly with intermediate reporting for significant events to enable prompt investigation and adjustment of work practices.</w:t>
      </w:r>
      <w:r>
        <w:t xml:space="preserve"> </w:t>
      </w:r>
      <w:hyperlink r:id="rId47">
        <w:r>
          <w:rPr>
            <w:rStyle w:val="Hyperlink"/>
          </w:rPr>
          <w:t xml:space="preserve">[35]</w:t>
        </w:r>
      </w:hyperlink>
    </w:p>
    <w:p>
      <w:pPr>
        <w:pStyle w:val="BodyText"/>
      </w:pPr>
      <w:r>
        <w:t xml:space="preserve">For licensed premises, EPL conditions can impose complaint-response obligations. An example EPL condition requires investigations of noise/vibration complaints within a defined timeframe and an offer of attended monitoring where the site is the likely source and representative data are not already held.</w:t>
      </w:r>
      <w:r>
        <w:t xml:space="preserve"> </w:t>
      </w:r>
      <w:hyperlink r:id="rId65">
        <w:r>
          <w:rPr>
            <w:rStyle w:val="Hyperlink"/>
          </w:rPr>
          <w:t xml:space="preserve">[49]</w:t>
        </w:r>
      </w:hyperlink>
    </w:p>
    <w:bookmarkEnd w:id="66"/>
    <w:bookmarkEnd w:id="67"/>
    <w:bookmarkStart w:id="72" w:name="Xee4298df032988d604f0ad6a1756275adf36fb2"/>
    <w:p>
      <w:pPr>
        <w:pStyle w:val="Heading2"/>
      </w:pPr>
      <w:r>
        <w:t xml:space="preserve">Sensitive receivers, work-type criteria, and NSW-specific gaps</w:t>
      </w:r>
    </w:p>
    <w:bookmarkStart w:id="68" w:name="Xfc6e552a7bd5b57c72bd9c7f5d19d158cb71dea"/>
    <w:p>
      <w:pPr>
        <w:pStyle w:val="Heading3"/>
      </w:pPr>
      <w:r>
        <w:t xml:space="preserve">Defining sensitive receivers in NSW construction assessments</w:t>
      </w:r>
    </w:p>
    <w:p>
      <w:pPr>
        <w:pStyle w:val="FirstParagraph"/>
      </w:pPr>
      <w:r>
        <w:t xml:space="preserve">NSW construction noise guidance explicitly lists common “sensitive land uses”, including residences, schools/educational, childcare, hospitals, places of worship, and recreation areas.</w:t>
      </w:r>
      <w:r>
        <w:t xml:space="preserve"> </w:t>
      </w:r>
      <w:hyperlink r:id="rId34">
        <w:r>
          <w:rPr>
            <w:rStyle w:val="Hyperlink"/>
          </w:rPr>
          <w:t xml:space="preserve">[50]</w:t>
        </w:r>
      </w:hyperlink>
    </w:p>
    <w:p>
      <w:pPr>
        <w:pStyle w:val="BodyText"/>
      </w:pPr>
      <w:r>
        <w:t xml:space="preserve">Vibration-sensitive receptors (human comfort) add “critical areas” such as operating theatres and precision laboratories, which have more stringent preferred/maximum VDV values.</w:t>
      </w:r>
      <w:r>
        <w:t xml:space="preserve"> </w:t>
      </w:r>
      <w:hyperlink r:id="rId21">
        <w:r>
          <w:rPr>
            <w:rStyle w:val="Hyperlink"/>
          </w:rPr>
          <w:t xml:space="preserve">[33]</w:t>
        </w:r>
      </w:hyperlink>
    </w:p>
    <w:p>
      <w:pPr>
        <w:pStyle w:val="BodyText"/>
      </w:pPr>
      <w:r>
        <w:t xml:space="preserve">Heritage buildings are commonly treated as “particularly sensitive structures” and are often managed with more conservative PPV triggers than standard residential buildings (whether through DIN line 3 screening, consent requirements, or project-specific warning/halt criteria).</w:t>
      </w:r>
      <w:r>
        <w:t xml:space="preserve"> </w:t>
      </w:r>
      <w:hyperlink r:id="rId47">
        <w:r>
          <w:rPr>
            <w:rStyle w:val="Hyperlink"/>
          </w:rPr>
          <w:t xml:space="preserve">[51]</w:t>
        </w:r>
      </w:hyperlink>
    </w:p>
    <w:bookmarkEnd w:id="68"/>
    <w:bookmarkStart w:id="69" w:name="X6ef95ca1a3b2f73b49530a0f28bcb08a32e5fe7"/>
    <w:p>
      <w:pPr>
        <w:pStyle w:val="Heading3"/>
      </w:pPr>
      <w:r>
        <w:t xml:space="preserve">Council-specific examples relevant to Sydney metro-area projects</w:t>
      </w:r>
    </w:p>
    <w:p>
      <w:pPr>
        <w:pStyle w:val="FirstParagraph"/>
      </w:pPr>
      <w:r>
        <w:t xml:space="preserve">A City of Sydney assessment example reproduces the council CBD construction noise limits (background-relative criteria by time category) and provides vibration criteria for cosmetic damage and human comfort, reflecting common use of BS 7385 and human exposure criteria in local practice.</w:t>
      </w:r>
      <w:r>
        <w:t xml:space="preserve"> </w:t>
      </w:r>
      <w:hyperlink r:id="rId53">
        <w:r>
          <w:rPr>
            <w:rStyle w:val="Hyperlink"/>
          </w:rPr>
          <w:t xml:space="preserve">[52]</w:t>
        </w:r>
      </w:hyperlink>
    </w:p>
    <w:p>
      <w:pPr>
        <w:pStyle w:val="BodyText"/>
      </w:pPr>
      <w:r>
        <w:t xml:space="preserve">For Parramatta, published information focuses on construction hours and after-hours works processes rather than prescribing unique vibration PPV limits, reinforcing that vibration criteria are usually set through approvals/CNVMPs rather than standalone council numeric codes.</w:t>
      </w:r>
    </w:p>
    <w:bookmarkEnd w:id="69"/>
    <w:bookmarkStart w:id="70" w:name="Xb5430eebd889500212aa528297d6bfc4a69b738"/>
    <w:p>
      <w:pPr>
        <w:pStyle w:val="Heading3"/>
      </w:pPr>
      <w:r>
        <w:t xml:space="preserve">Work-type specific criteria and typical NSW control approaches</w:t>
      </w:r>
    </w:p>
    <w:p>
      <w:pPr>
        <w:pStyle w:val="FirstParagraph"/>
      </w:pPr>
      <w:r>
        <w:t xml:space="preserve">NSW guidance generally applies the same receiver-based criteria (NMLs, VDV, DIN/BS PPV) across work types, but the</w:t>
      </w:r>
      <w:r>
        <w:t xml:space="preserve"> </w:t>
      </w:r>
      <w:r>
        <w:rPr>
          <w:b/>
          <w:bCs/>
        </w:rPr>
        <w:t xml:space="preserve">risk profile</w:t>
      </w:r>
      <w:r>
        <w:t xml:space="preserve"> </w:t>
      </w:r>
      <w:r>
        <w:t xml:space="preserve">and typical consent conditions differ by activity.</w:t>
      </w:r>
    </w:p>
    <w:p>
      <w:pPr>
        <w:pStyle w:val="BodyText"/>
      </w:pPr>
      <w:r>
        <w:rPr>
          <w:b/>
          <w:bCs/>
        </w:rPr>
        <w:t xml:space="preserve">Bored piling (CFA/rotary bored piles)</w:t>
      </w:r>
      <w:r>
        <w:br/>
      </w:r>
      <w:r>
        <w:t xml:space="preserve">Typically lower vibration than impact piling; noise can still be significant due to auger/rig engines and spoil handling. Controls focus on meeting ICNG NMLs, managing tonal/reversing alarms, and scheduling.</w:t>
      </w:r>
      <w:r>
        <w:t xml:space="preserve"> </w:t>
      </w:r>
      <w:hyperlink r:id="rId36">
        <w:r>
          <w:rPr>
            <w:rStyle w:val="Hyperlink"/>
          </w:rPr>
          <w:t xml:space="preserve">[53]</w:t>
        </w:r>
      </w:hyperlink>
    </w:p>
    <w:p>
      <w:pPr>
        <w:pStyle w:val="BodyText"/>
      </w:pPr>
      <w:r>
        <w:rPr>
          <w:b/>
          <w:bCs/>
        </w:rPr>
        <w:t xml:space="preserve">Driven piling / percussive piling</w:t>
      </w:r>
      <w:r>
        <w:br/>
      </w:r>
      <w:r>
        <w:t xml:space="preserve">High risk of exceeding both “highly noise affected” noise levels and vibration comfort expectations close to receivers; often requires CNVMP-specific high-noise work strategies and may trigger real-time monitoring near sensitive structures.</w:t>
      </w:r>
      <w:r>
        <w:t xml:space="preserve"> </w:t>
      </w:r>
      <w:hyperlink r:id="rId30">
        <w:r>
          <w:rPr>
            <w:rStyle w:val="Hyperlink"/>
          </w:rPr>
          <w:t xml:space="preserve">[54]</w:t>
        </w:r>
      </w:hyperlink>
    </w:p>
    <w:p>
      <w:pPr>
        <w:pStyle w:val="BodyText"/>
      </w:pPr>
      <w:r>
        <w:rPr>
          <w:b/>
          <w:bCs/>
        </w:rPr>
        <w:t xml:space="preserve">Rock breaking / hydraulic hammering</w:t>
      </w:r>
      <w:r>
        <w:br/>
      </w:r>
      <w:r>
        <w:t xml:space="preserve">Recognised in NSW draft guidance as potentially involving special audible characteristics; in quantitative assessment a 5 dB penalty may be applied where such characteristics are expected.</w:t>
      </w:r>
      <w:r>
        <w:t xml:space="preserve"> </w:t>
      </w:r>
      <w:hyperlink r:id="rId34">
        <w:r>
          <w:rPr>
            <w:rStyle w:val="Hyperlink"/>
          </w:rPr>
          <w:t xml:space="preserve">[28]</w:t>
        </w:r>
      </w:hyperlink>
      <w:r>
        <w:t xml:space="preserve"> </w:t>
      </w:r>
      <w:r>
        <w:t xml:space="preserve">Vibration is usually intermittent; in practice, triggers and short-term PPV monitoring are common near residences/heritage.</w:t>
      </w:r>
      <w:r>
        <w:t xml:space="preserve"> </w:t>
      </w:r>
      <w:hyperlink r:id="rId47">
        <w:r>
          <w:rPr>
            <w:rStyle w:val="Hyperlink"/>
          </w:rPr>
          <w:t xml:space="preserve">[31]</w:t>
        </w:r>
      </w:hyperlink>
    </w:p>
    <w:p>
      <w:pPr>
        <w:pStyle w:val="BodyText"/>
      </w:pPr>
      <w:r>
        <w:rPr>
          <w:b/>
          <w:bCs/>
        </w:rPr>
        <w:t xml:space="preserve">Dynamic compaction / impact rolling / heavy vibratory compaction</w:t>
      </w:r>
      <w:r>
        <w:br/>
      </w:r>
      <w:r>
        <w:t xml:space="preserve">Often capable of generating high vibration levels; NSW consents can include explicit plant-distance restrictions (e.g., vibratory compactors not within 30 m unless monitoring confirms compliance) and reliance on DIN limits for structural protection.</w:t>
      </w:r>
      <w:r>
        <w:t xml:space="preserve"> </w:t>
      </w:r>
      <w:hyperlink r:id="rId30">
        <w:r>
          <w:rPr>
            <w:rStyle w:val="Hyperlink"/>
          </w:rPr>
          <w:t xml:space="preserve">[30]</w:t>
        </w:r>
      </w:hyperlink>
    </w:p>
    <w:p>
      <w:pPr>
        <w:pStyle w:val="BodyText"/>
      </w:pPr>
      <w:r>
        <w:rPr>
          <w:b/>
          <w:bCs/>
        </w:rPr>
        <w:t xml:space="preserve">Blasting</w:t>
      </w:r>
      <w:r>
        <w:br/>
      </w:r>
      <w:r>
        <w:t xml:space="preserve">Typically controlled using ANZEC airblast/PPV criteria and blasting time restrictions, with exceedance rules (95%/5%) and “absolute max” caps.</w:t>
      </w:r>
      <w:r>
        <w:t xml:space="preserve"> </w:t>
      </w:r>
      <w:hyperlink r:id="rId22">
        <w:r>
          <w:rPr>
            <w:rStyle w:val="Hyperlink"/>
          </w:rPr>
          <w:t xml:space="preserve">[41]</w:t>
        </w:r>
      </w:hyperlink>
    </w:p>
    <w:p>
      <w:pPr>
        <w:pStyle w:val="BodyText"/>
      </w:pPr>
      <w:r>
        <w:rPr>
          <w:b/>
          <w:bCs/>
        </w:rPr>
        <w:t xml:space="preserve">Excavation</w:t>
      </w:r>
      <w:r>
        <w:br/>
      </w:r>
      <w:r>
        <w:t xml:space="preserve">Noise and vibration depend on method (saw-cutting vs breaker vs drill-and-blast). Ground-borne noise criteria (internal 40/35 dBA evening/night) can become relevant for deep excavations/tunnelling-type works where vibration transmits into structures.</w:t>
      </w:r>
      <w:r>
        <w:t xml:space="preserve"> </w:t>
      </w:r>
      <w:hyperlink r:id="rId36">
        <w:r>
          <w:rPr>
            <w:rStyle w:val="Hyperlink"/>
          </w:rPr>
          <w:t xml:space="preserve">[55]</w:t>
        </w:r>
      </w:hyperlink>
    </w:p>
    <w:bookmarkEnd w:id="70"/>
    <w:bookmarkStart w:id="71" w:name="Xe12f37cc02480f350f532f24b4e544fbd3c7f12"/>
    <w:p>
      <w:pPr>
        <w:pStyle w:val="Heading3"/>
      </w:pPr>
      <w:r>
        <w:t xml:space="preserve">Key gaps where NSW guidance is silent and practice fills in</w:t>
      </w:r>
    </w:p>
    <w:p>
      <w:pPr>
        <w:pStyle w:val="FirstParagraph"/>
      </w:pPr>
      <w:r>
        <w:t xml:space="preserve">NSW practice is mature, but there are still predictable “gaps” that reporting platforms should handle explicitly:</w:t>
      </w:r>
    </w:p>
    <w:p>
      <w:pPr>
        <w:numPr>
          <w:ilvl w:val="0"/>
          <w:numId w:val="1002"/>
        </w:numPr>
      </w:pPr>
      <w:r>
        <w:rPr>
          <w:b/>
          <w:bCs/>
        </w:rPr>
        <w:t xml:space="preserve">No single NSW statutory numeric construction noise/vibration limit exists</w:t>
      </w:r>
      <w:r>
        <w:t xml:space="preserve">; enforceable numbers come from consents/licences/notices. Platform logic must therefore store not only the number, but the</w:t>
      </w:r>
      <w:r>
        <w:t xml:space="preserve"> </w:t>
      </w:r>
      <w:r>
        <w:rPr>
          <w:b/>
          <w:bCs/>
        </w:rPr>
        <w:t xml:space="preserve">instrument and condition clause</w:t>
      </w:r>
      <w:r>
        <w:t xml:space="preserve"> </w:t>
      </w:r>
      <w:r>
        <w:t xml:space="preserve">that makes it enforceable.</w:t>
      </w:r>
      <w:r>
        <w:t xml:space="preserve"> </w:t>
      </w:r>
      <w:hyperlink r:id="rId25">
        <w:r>
          <w:rPr>
            <w:rStyle w:val="Hyperlink"/>
          </w:rPr>
          <w:t xml:space="preserve">[56]</w:t>
        </w:r>
      </w:hyperlink>
    </w:p>
    <w:p>
      <w:pPr>
        <w:numPr>
          <w:ilvl w:val="0"/>
          <w:numId w:val="1002"/>
        </w:numPr>
      </w:pPr>
      <w:r>
        <w:t xml:space="preserve">NSW’s vibration guideline is</w:t>
      </w:r>
      <w:r>
        <w:t xml:space="preserve"> </w:t>
      </w:r>
      <w:r>
        <w:rPr>
          <w:b/>
          <w:bCs/>
        </w:rPr>
        <w:t xml:space="preserve">amenity-focused</w:t>
      </w:r>
      <w:r>
        <w:t xml:space="preserve"> </w:t>
      </w:r>
      <w:r>
        <w:t xml:space="preserve">and does not itself prescribe building-damage PPV limits, driving widespread reliance on DIN 4150-3 / BS 7385 in conditions and CNVMPs.</w:t>
      </w:r>
      <w:r>
        <w:t xml:space="preserve"> </w:t>
      </w:r>
      <w:hyperlink r:id="rId21">
        <w:r>
          <w:rPr>
            <w:rStyle w:val="Hyperlink"/>
          </w:rPr>
          <w:t xml:space="preserve">[57]</w:t>
        </w:r>
      </w:hyperlink>
    </w:p>
    <w:p>
      <w:pPr>
        <w:numPr>
          <w:ilvl w:val="0"/>
          <w:numId w:val="1002"/>
        </w:numPr>
      </w:pPr>
      <w:r>
        <w:t xml:space="preserve">The</w:t>
      </w:r>
      <w:r>
        <w:t xml:space="preserve"> </w:t>
      </w:r>
      <w:r>
        <w:rPr>
          <w:b/>
          <w:bCs/>
        </w:rPr>
        <w:t xml:space="preserve">status transition</w:t>
      </w:r>
      <w:r>
        <w:t xml:space="preserve"> </w:t>
      </w:r>
      <w:r>
        <w:t xml:space="preserve">from ICNG to the draft Construction Noise Guideline is unresolved (draft under review as at April 2026). Practically, project teams often run dual frameworks: ICNG (for conditioned compliance) plus draft guideline concepts (for supplementary mitigation, out-of-hours hierarchy, and 65 dBA out-of-hours “highly noise affected” trigger).</w:t>
      </w:r>
      <w:r>
        <w:t xml:space="preserve"> </w:t>
      </w:r>
      <w:hyperlink r:id="rId36">
        <w:r>
          <w:rPr>
            <w:rStyle w:val="Hyperlink"/>
          </w:rPr>
          <w:t xml:space="preserve">[58]</w:t>
        </w:r>
      </w:hyperlink>
    </w:p>
    <w:p>
      <w:pPr>
        <w:numPr>
          <w:ilvl w:val="0"/>
          <w:numId w:val="1002"/>
        </w:numPr>
      </w:pPr>
      <w:r>
        <w:rPr>
          <w:b/>
          <w:bCs/>
        </w:rPr>
        <w:t xml:space="preserve">Sensitive equipment</w:t>
      </w:r>
      <w:r>
        <w:t xml:space="preserve"> </w:t>
      </w:r>
      <w:r>
        <w:t xml:space="preserve">(labs, medical imaging, precision manufacturing) frequently needs</w:t>
      </w:r>
      <w:r>
        <w:t xml:space="preserve"> </w:t>
      </w:r>
      <w:r>
        <w:rPr>
          <w:b/>
          <w:bCs/>
        </w:rPr>
        <w:t xml:space="preserve">project-specific criteria</w:t>
      </w:r>
      <w:r>
        <w:t xml:space="preserve"> </w:t>
      </w:r>
      <w:r>
        <w:t xml:space="preserve">beyond generic residential/commercial/heritage categories; NSW guidance flags “critical areas” but does not provide detailed equipment vibration limits, so practice relies on stakeholder requirements and specialist VC curves or equipment specs.</w:t>
      </w:r>
      <w:r>
        <w:t xml:space="preserve"> </w:t>
      </w:r>
      <w:hyperlink r:id="rId21">
        <w:r>
          <w:rPr>
            <w:rStyle w:val="Hyperlink"/>
          </w:rPr>
          <w:t xml:space="preserve">[59]</w:t>
        </w:r>
      </w:hyperlink>
    </w:p>
    <w:p>
      <w:pPr>
        <w:numPr>
          <w:ilvl w:val="0"/>
          <w:numId w:val="1002"/>
        </w:numPr>
      </w:pPr>
      <w:r>
        <w:rPr>
          <w:b/>
          <w:bCs/>
        </w:rPr>
        <w:t xml:space="preserve">Work-type-specific numeric limits</w:t>
      </w:r>
      <w:r>
        <w:t xml:space="preserve"> </w:t>
      </w:r>
      <w:r>
        <w:t xml:space="preserve">(e.g., for piling vs rock breaking) are not generally defined at NSW EPA level; instead, proponents manage via receiver-based criteria, special audible penalties, staged work methods, and consent-imposed activity constraints (e.g., plant exclusion distances, mandated CNVIS for high-impact works).</w:t>
      </w:r>
      <w:r>
        <w:t xml:space="preserve"> </w:t>
      </w:r>
      <w:hyperlink r:id="rId34">
        <w:r>
          <w:rPr>
            <w:rStyle w:val="Hyperlink"/>
          </w:rPr>
          <w:t xml:space="preserve">[60]</w:t>
        </w:r>
      </w:hyperlink>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[57]</w:t>
        </w:r>
      </w:hyperlink>
      <w:r>
        <w:t xml:space="preserve"> </w:t>
      </w:r>
      <w:hyperlink r:id="rId21">
        <w:r>
          <w:rPr>
            <w:rStyle w:val="Hyperlink"/>
          </w:rPr>
          <w:t xml:space="preserve">[59]</w:t>
        </w:r>
      </w:hyperlink>
      <w:r>
        <w:t xml:space="preserve"> </w:t>
      </w:r>
      <w:r>
        <w:t xml:space="preserve">https://www.epa.nsw.gov.au/sites/default/files/vibrationguide0643.pdf</w:t>
      </w:r>
    </w:p>
    <w:p>
      <w:pPr>
        <w:pStyle w:val="BodyText"/>
      </w:pPr>
      <w:hyperlink r:id="rId21">
        <w:r>
          <w:rPr>
            <w:rStyle w:val="Hyperlink"/>
          </w:rPr>
          <w:t xml:space="preserve">https://www.epa.nsw.gov.au/sites/default/files/vibrationguide0643.pdf</w:t>
        </w:r>
      </w:hyperlink>
    </w:p>
    <w:p>
      <w:pPr>
        <w:pStyle w:val="BodyText"/>
      </w:pPr>
      <w:hyperlink r:id="rId22">
        <w:r>
          <w:rPr>
            <w:rStyle w:val="Hyperlink"/>
          </w:rPr>
          <w:t xml:space="preserve">[2]</w:t>
        </w:r>
      </w:hyperlink>
      <w:r>
        <w:t xml:space="preserve"> </w:t>
      </w:r>
      <w:hyperlink r:id="rId22">
        <w:r>
          <w:rPr>
            <w:rStyle w:val="Hyperlink"/>
          </w:rPr>
          <w:t xml:space="preserve">[41]</w:t>
        </w:r>
      </w:hyperlink>
      <w:r>
        <w:t xml:space="preserve"> </w:t>
      </w:r>
      <w:hyperlink r:id="rId22">
        <w:r>
          <w:rPr>
            <w:rStyle w:val="Hyperlink"/>
          </w:rPr>
          <w:t xml:space="preserve">[42]</w:t>
        </w:r>
      </w:hyperlink>
      <w:r>
        <w:t xml:space="preserve"> </w:t>
      </w:r>
      <w:hyperlink r:id="rId22">
        <w:r>
          <w:rPr>
            <w:rStyle w:val="Hyperlink"/>
          </w:rPr>
          <w:t xml:space="preserve">[43]</w:t>
        </w:r>
      </w:hyperlink>
      <w:r>
        <w:t xml:space="preserve"> </w:t>
      </w:r>
      <w:r>
        <w:t xml:space="preserve">epa.nsw.gov.au</w:t>
      </w:r>
    </w:p>
    <w:p>
      <w:pPr>
        <w:pStyle w:val="BodyText"/>
      </w:pPr>
      <w:hyperlink r:id="rId22">
        <w:r>
          <w:rPr>
            <w:rStyle w:val="Hyperlink"/>
          </w:rPr>
          <w:t xml:space="preserve">https://www.epa.nsw.gov.au/sites/default/files/anzecblasting.pdf</w:t>
        </w:r>
      </w:hyperlink>
    </w:p>
    <w:p>
      <w:pPr>
        <w:pStyle w:val="BodyText"/>
      </w:pPr>
      <w:hyperlink r:id="rId23">
        <w:r>
          <w:rPr>
            <w:rStyle w:val="Hyperlink"/>
          </w:rPr>
          <w:t xml:space="preserve">[3]</w:t>
        </w:r>
      </w:hyperlink>
      <w:r>
        <w:t xml:space="preserve"> </w:t>
      </w:r>
      <w:hyperlink r:id="rId23">
        <w:r>
          <w:rPr>
            <w:rStyle w:val="Hyperlink"/>
          </w:rPr>
          <w:t xml:space="preserve">[29]</w:t>
        </w:r>
      </w:hyperlink>
      <w:r>
        <w:t xml:space="preserve"> </w:t>
      </w:r>
      <w:r>
        <w:t xml:space="preserve">https://classic.austlii.edu.au/au/legis/nsw/consol_act/poteoa1997455/sch6.html</w:t>
      </w:r>
    </w:p>
    <w:p>
      <w:pPr>
        <w:pStyle w:val="BodyText"/>
      </w:pPr>
      <w:hyperlink r:id="rId23">
        <w:r>
          <w:rPr>
            <w:rStyle w:val="Hyperlink"/>
          </w:rPr>
          <w:t xml:space="preserve">https://classic.austlii.edu.au/au/legis/nsw/consol_act/poteoa1997455/sch6.html</w:t>
        </w:r>
      </w:hyperlink>
    </w:p>
    <w:p>
      <w:pPr>
        <w:pStyle w:val="BodyText"/>
      </w:pPr>
      <w:hyperlink r:id="rId25">
        <w:r>
          <w:rPr>
            <w:rStyle w:val="Hyperlink"/>
          </w:rPr>
          <w:t xml:space="preserve">[4]</w:t>
        </w:r>
      </w:hyperlink>
      <w:r>
        <w:t xml:space="preserve"> </w:t>
      </w:r>
      <w:hyperlink r:id="rId25">
        <w:r>
          <w:rPr>
            <w:rStyle w:val="Hyperlink"/>
          </w:rPr>
          <w:t xml:space="preserve">[56]</w:t>
        </w:r>
      </w:hyperlink>
      <w:r>
        <w:t xml:space="preserve"> </w:t>
      </w:r>
      <w:r>
        <w:t xml:space="preserve">https://classic.austlii.edu.au/au/legis/nsw/consol_act/poteoa1997455/s96.html</w:t>
      </w:r>
    </w:p>
    <w:p>
      <w:pPr>
        <w:pStyle w:val="BodyText"/>
      </w:pPr>
      <w:hyperlink r:id="rId25">
        <w:r>
          <w:rPr>
            <w:rStyle w:val="Hyperlink"/>
          </w:rPr>
          <w:t xml:space="preserve">https://classic.austlii.edu.au/au/legis/nsw/consol_act/poteoa1997455/s96.html</w:t>
        </w:r>
      </w:hyperlink>
    </w:p>
    <w:p>
      <w:pPr>
        <w:pStyle w:val="BodyText"/>
      </w:pPr>
      <w:hyperlink r:id="rId26">
        <w:r>
          <w:rPr>
            <w:rStyle w:val="Hyperlink"/>
          </w:rPr>
          <w:t xml:space="preserve">[5]</w:t>
        </w:r>
      </w:hyperlink>
      <w:r>
        <w:t xml:space="preserve"> </w:t>
      </w:r>
      <w:r>
        <w:t xml:space="preserve">protection of the environment operations act 1997 - sect 264</w:t>
      </w:r>
    </w:p>
    <w:p>
      <w:pPr>
        <w:pStyle w:val="BodyText"/>
      </w:pPr>
      <w:hyperlink r:id="rId26">
        <w:r>
          <w:rPr>
            <w:rStyle w:val="Hyperlink"/>
          </w:rPr>
          <w:t xml:space="preserve">https://classic.austlii.edu.au/au/legis/nsw/consol_act/poteoa1997455/s264.html?utm_source=chatgpt.com</w:t>
        </w:r>
      </w:hyperlink>
    </w:p>
    <w:p>
      <w:pPr>
        <w:pStyle w:val="BodyText"/>
      </w:pPr>
      <w:hyperlink r:id="rId27">
        <w:r>
          <w:rPr>
            <w:rStyle w:val="Hyperlink"/>
          </w:rPr>
          <w:t xml:space="preserve">[6]</w:t>
        </w:r>
      </w:hyperlink>
      <w:r>
        <w:t xml:space="preserve"> </w:t>
      </w:r>
      <w:r>
        <w:t xml:space="preserve">https://classic.austlii.edu.au/au/legis/nsw/consol_act/poteoa1997455/s276.html</w:t>
      </w:r>
    </w:p>
    <w:p>
      <w:pPr>
        <w:pStyle w:val="BodyText"/>
      </w:pPr>
      <w:hyperlink r:id="rId27">
        <w:r>
          <w:rPr>
            <w:rStyle w:val="Hyperlink"/>
          </w:rPr>
          <w:t xml:space="preserve">https://classic.austlii.edu.au/au/legis/nsw/consol_act/poteoa1997455/s276.html</w:t>
        </w:r>
      </w:hyperlink>
    </w:p>
    <w:p>
      <w:pPr>
        <w:pStyle w:val="BodyText"/>
      </w:pPr>
      <w:hyperlink r:id="rId28">
        <w:r>
          <w:rPr>
            <w:rStyle w:val="Hyperlink"/>
          </w:rPr>
          <w:t xml:space="preserve">[7]</w:t>
        </w:r>
      </w:hyperlink>
      <w:r>
        <w:t xml:space="preserve"> </w:t>
      </w:r>
      <w:r>
        <w:t xml:space="preserve">https://classic.austlii.edu.au/au/legis/nsw/consol_act/poteoa1997455/s268.html</w:t>
      </w:r>
    </w:p>
    <w:p>
      <w:pPr>
        <w:pStyle w:val="BodyText"/>
      </w:pPr>
      <w:hyperlink r:id="rId28">
        <w:r>
          <w:rPr>
            <w:rStyle w:val="Hyperlink"/>
          </w:rPr>
          <w:t xml:space="preserve">https://classic.austlii.edu.au/au/legis/nsw/consol_act/poteoa1997455/s268.html</w:t>
        </w:r>
      </w:hyperlink>
    </w:p>
    <w:p>
      <w:pPr>
        <w:pStyle w:val="BodyText"/>
      </w:pPr>
      <w:hyperlink r:id="rId30">
        <w:r>
          <w:rPr>
            <w:rStyle w:val="Hyperlink"/>
          </w:rPr>
          <w:t xml:space="preserve">[8]</w:t>
        </w:r>
      </w:hyperlink>
      <w:r>
        <w:t xml:space="preserve"> </w:t>
      </w:r>
      <w:hyperlink r:id="rId30">
        <w:r>
          <w:rPr>
            <w:rStyle w:val="Hyperlink"/>
          </w:rPr>
          <w:t xml:space="preserve">[30]</w:t>
        </w:r>
      </w:hyperlink>
      <w:r>
        <w:t xml:space="preserve"> </w:t>
      </w:r>
      <w:hyperlink r:id="rId30">
        <w:r>
          <w:rPr>
            <w:rStyle w:val="Hyperlink"/>
          </w:rPr>
          <w:t xml:space="preserve">[34]</w:t>
        </w:r>
      </w:hyperlink>
      <w:r>
        <w:t xml:space="preserve"> </w:t>
      </w:r>
      <w:hyperlink r:id="rId30">
        <w:r>
          <w:rPr>
            <w:rStyle w:val="Hyperlink"/>
          </w:rPr>
          <w:t xml:space="preserve">[54]</w:t>
        </w:r>
      </w:hyperlink>
      <w:r>
        <w:t xml:space="preserve"> </w:t>
      </w:r>
      <w:r>
        <w:t xml:space="preserve">https://cms.plenary.com/app/uploads/2024/06/SSD-10822510-Mod-3-Consolidated-Conditions.pdf</w:t>
      </w:r>
    </w:p>
    <w:p>
      <w:pPr>
        <w:pStyle w:val="BodyText"/>
      </w:pPr>
      <w:hyperlink r:id="rId30">
        <w:r>
          <w:rPr>
            <w:rStyle w:val="Hyperlink"/>
          </w:rPr>
          <w:t xml:space="preserve">https://cms.plenary.com/app/uploads/2024/06/SSD-10822510-Mod-3-Consolidated-Conditions.pdf</w:t>
        </w:r>
      </w:hyperlink>
    </w:p>
    <w:p>
      <w:pPr>
        <w:pStyle w:val="BodyText"/>
      </w:pPr>
      <w:hyperlink r:id="rId31">
        <w:r>
          <w:rPr>
            <w:rStyle w:val="Hyperlink"/>
          </w:rPr>
          <w:t xml:space="preserve">[9]</w:t>
        </w:r>
      </w:hyperlink>
      <w:r>
        <w:t xml:space="preserve"> </w:t>
      </w:r>
      <w:hyperlink r:id="rId31">
        <w:r>
          <w:rPr>
            <w:rStyle w:val="Hyperlink"/>
          </w:rPr>
          <w:t xml:space="preserve">[10]</w:t>
        </w:r>
      </w:hyperlink>
      <w:r>
        <w:t xml:space="preserve"> </w:t>
      </w:r>
      <w:r>
        <w:t xml:space="preserve">https://www.planningportal.nsw.gov.au/major-projects/assessment/policies-and-guidelines/key-guidance/noise-and-vibration</w:t>
      </w:r>
    </w:p>
    <w:p>
      <w:pPr>
        <w:pStyle w:val="BodyText"/>
      </w:pPr>
      <w:hyperlink r:id="rId31">
        <w:r>
          <w:rPr>
            <w:rStyle w:val="Hyperlink"/>
          </w:rPr>
          <w:t xml:space="preserve">https://www.planningportal.nsw.gov.au/major-projects/assessment/policies-and-guidelines/key-guidance/noise-and-vibration</w:t>
        </w:r>
      </w:hyperlink>
    </w:p>
    <w:p>
      <w:pPr>
        <w:pStyle w:val="BodyText"/>
      </w:pPr>
      <w:hyperlink r:id="rId34">
        <w:r>
          <w:rPr>
            <w:rStyle w:val="Hyperlink"/>
          </w:rPr>
          <w:t xml:space="preserve">[11]</w:t>
        </w:r>
      </w:hyperlink>
      <w:r>
        <w:t xml:space="preserve"> </w:t>
      </w:r>
      <w:hyperlink r:id="rId34">
        <w:r>
          <w:rPr>
            <w:rStyle w:val="Hyperlink"/>
          </w:rPr>
          <w:t xml:space="preserve">[13]</w:t>
        </w:r>
      </w:hyperlink>
      <w:r>
        <w:t xml:space="preserve"> </w:t>
      </w:r>
      <w:hyperlink r:id="rId34">
        <w:r>
          <w:rPr>
            <w:rStyle w:val="Hyperlink"/>
          </w:rPr>
          <w:t xml:space="preserve">[16]</w:t>
        </w:r>
      </w:hyperlink>
      <w:r>
        <w:t xml:space="preserve"> </w:t>
      </w:r>
      <w:hyperlink r:id="rId34">
        <w:r>
          <w:rPr>
            <w:rStyle w:val="Hyperlink"/>
          </w:rPr>
          <w:t xml:space="preserve">[17]</w:t>
        </w:r>
      </w:hyperlink>
      <w:r>
        <w:t xml:space="preserve"> </w:t>
      </w:r>
      <w:hyperlink r:id="rId34">
        <w:r>
          <w:rPr>
            <w:rStyle w:val="Hyperlink"/>
          </w:rPr>
          <w:t xml:space="preserve">[21]</w:t>
        </w:r>
      </w:hyperlink>
      <w:r>
        <w:t xml:space="preserve"> </w:t>
      </w:r>
      <w:hyperlink r:id="rId34">
        <w:r>
          <w:rPr>
            <w:rStyle w:val="Hyperlink"/>
          </w:rPr>
          <w:t xml:space="preserve">[22]</w:t>
        </w:r>
      </w:hyperlink>
      <w:r>
        <w:t xml:space="preserve"> </w:t>
      </w:r>
      <w:hyperlink r:id="rId34">
        <w:r>
          <w:rPr>
            <w:rStyle w:val="Hyperlink"/>
          </w:rPr>
          <w:t xml:space="preserve">[24]</w:t>
        </w:r>
      </w:hyperlink>
      <w:r>
        <w:t xml:space="preserve"> </w:t>
      </w:r>
      <w:hyperlink r:id="rId34">
        <w:r>
          <w:rPr>
            <w:rStyle w:val="Hyperlink"/>
          </w:rPr>
          <w:t xml:space="preserve">[28]</w:t>
        </w:r>
      </w:hyperlink>
      <w:r>
        <w:t xml:space="preserve"> </w:t>
      </w:r>
      <w:hyperlink r:id="rId34">
        <w:r>
          <w:rPr>
            <w:rStyle w:val="Hyperlink"/>
          </w:rPr>
          <w:t xml:space="preserve">[44]</w:t>
        </w:r>
      </w:hyperlink>
      <w:r>
        <w:t xml:space="preserve"> </w:t>
      </w:r>
      <w:hyperlink r:id="rId34">
        <w:r>
          <w:rPr>
            <w:rStyle w:val="Hyperlink"/>
          </w:rPr>
          <w:t xml:space="preserve">[45]</w:t>
        </w:r>
      </w:hyperlink>
      <w:r>
        <w:t xml:space="preserve"> </w:t>
      </w:r>
      <w:hyperlink r:id="rId34">
        <w:r>
          <w:rPr>
            <w:rStyle w:val="Hyperlink"/>
          </w:rPr>
          <w:t xml:space="preserve">[46]</w:t>
        </w:r>
      </w:hyperlink>
      <w:r>
        <w:t xml:space="preserve"> </w:t>
      </w:r>
      <w:hyperlink r:id="rId34">
        <w:r>
          <w:rPr>
            <w:rStyle w:val="Hyperlink"/>
          </w:rPr>
          <w:t xml:space="preserve">[48]</w:t>
        </w:r>
      </w:hyperlink>
      <w:r>
        <w:t xml:space="preserve"> </w:t>
      </w:r>
      <w:hyperlink r:id="rId34">
        <w:r>
          <w:rPr>
            <w:rStyle w:val="Hyperlink"/>
          </w:rPr>
          <w:t xml:space="preserve">[50]</w:t>
        </w:r>
      </w:hyperlink>
      <w:r>
        <w:t xml:space="preserve"> </w:t>
      </w:r>
      <w:hyperlink r:id="rId34">
        <w:r>
          <w:rPr>
            <w:rStyle w:val="Hyperlink"/>
          </w:rPr>
          <w:t xml:space="preserve">[60]</w:t>
        </w:r>
      </w:hyperlink>
      <w:r>
        <w:t xml:space="preserve"> </w:t>
      </w:r>
      <w:r>
        <w:t xml:space="preserve">https://www.epa.nsw.gov.au/sites/default/files/20p2281-draft-construction-noise-guideline.pdf</w:t>
      </w:r>
    </w:p>
    <w:p>
      <w:pPr>
        <w:pStyle w:val="BodyText"/>
      </w:pPr>
      <w:hyperlink r:id="rId34">
        <w:r>
          <w:rPr>
            <w:rStyle w:val="Hyperlink"/>
          </w:rPr>
          <w:t xml:space="preserve">https://www.epa.nsw.gov.au/sites/default/files/20p2281-draft-construction-noise-guideline.pdf</w:t>
        </w:r>
      </w:hyperlink>
    </w:p>
    <w:p>
      <w:pPr>
        <w:pStyle w:val="BodyText"/>
      </w:pPr>
      <w:hyperlink r:id="rId36">
        <w:r>
          <w:rPr>
            <w:rStyle w:val="Hyperlink"/>
          </w:rPr>
          <w:t xml:space="preserve">[12]</w:t>
        </w:r>
      </w:hyperlink>
      <w:r>
        <w:t xml:space="preserve"> </w:t>
      </w:r>
      <w:hyperlink r:id="rId36">
        <w:r>
          <w:rPr>
            <w:rStyle w:val="Hyperlink"/>
          </w:rPr>
          <w:t xml:space="preserve">[14]</w:t>
        </w:r>
      </w:hyperlink>
      <w:r>
        <w:t xml:space="preserve"> </w:t>
      </w:r>
      <w:hyperlink r:id="rId36">
        <w:r>
          <w:rPr>
            <w:rStyle w:val="Hyperlink"/>
          </w:rPr>
          <w:t xml:space="preserve">[15]</w:t>
        </w:r>
      </w:hyperlink>
      <w:r>
        <w:t xml:space="preserve"> </w:t>
      </w:r>
      <w:hyperlink r:id="rId36">
        <w:r>
          <w:rPr>
            <w:rStyle w:val="Hyperlink"/>
          </w:rPr>
          <w:t xml:space="preserve">[18]</w:t>
        </w:r>
      </w:hyperlink>
      <w:r>
        <w:t xml:space="preserve"> </w:t>
      </w:r>
      <w:hyperlink r:id="rId36">
        <w:r>
          <w:rPr>
            <w:rStyle w:val="Hyperlink"/>
          </w:rPr>
          <w:t xml:space="preserve">[19]</w:t>
        </w:r>
      </w:hyperlink>
      <w:r>
        <w:t xml:space="preserve"> </w:t>
      </w:r>
      <w:hyperlink r:id="rId36">
        <w:r>
          <w:rPr>
            <w:rStyle w:val="Hyperlink"/>
          </w:rPr>
          <w:t xml:space="preserve">[20]</w:t>
        </w:r>
      </w:hyperlink>
      <w:r>
        <w:t xml:space="preserve"> </w:t>
      </w:r>
      <w:hyperlink r:id="rId36">
        <w:r>
          <w:rPr>
            <w:rStyle w:val="Hyperlink"/>
          </w:rPr>
          <w:t xml:space="preserve">[26]</w:t>
        </w:r>
      </w:hyperlink>
      <w:r>
        <w:t xml:space="preserve"> </w:t>
      </w:r>
      <w:hyperlink r:id="rId36">
        <w:r>
          <w:rPr>
            <w:rStyle w:val="Hyperlink"/>
          </w:rPr>
          <w:t xml:space="preserve">[27]</w:t>
        </w:r>
      </w:hyperlink>
      <w:r>
        <w:t xml:space="preserve"> </w:t>
      </w:r>
      <w:hyperlink r:id="rId36">
        <w:r>
          <w:rPr>
            <w:rStyle w:val="Hyperlink"/>
          </w:rPr>
          <w:t xml:space="preserve">[47]</w:t>
        </w:r>
      </w:hyperlink>
      <w:r>
        <w:t xml:space="preserve"> </w:t>
      </w:r>
      <w:hyperlink r:id="rId36">
        <w:r>
          <w:rPr>
            <w:rStyle w:val="Hyperlink"/>
          </w:rPr>
          <w:t xml:space="preserve">[53]</w:t>
        </w:r>
      </w:hyperlink>
      <w:r>
        <w:t xml:space="preserve"> </w:t>
      </w:r>
      <w:hyperlink r:id="rId36">
        <w:r>
          <w:rPr>
            <w:rStyle w:val="Hyperlink"/>
          </w:rPr>
          <w:t xml:space="preserve">[55]</w:t>
        </w:r>
      </w:hyperlink>
      <w:r>
        <w:t xml:space="preserve"> </w:t>
      </w:r>
      <w:hyperlink r:id="rId36">
        <w:r>
          <w:rPr>
            <w:rStyle w:val="Hyperlink"/>
          </w:rPr>
          <w:t xml:space="preserve">[58]</w:t>
        </w:r>
      </w:hyperlink>
      <w:r>
        <w:t xml:space="preserve"> </w:t>
      </w:r>
      <w:r>
        <w:t xml:space="preserve">https://www.epa.nsw.gov.au/sites/default/files/09265cng.pdf</w:t>
      </w:r>
    </w:p>
    <w:p>
      <w:pPr>
        <w:pStyle w:val="BodyText"/>
      </w:pPr>
      <w:hyperlink r:id="rId36">
        <w:r>
          <w:rPr>
            <w:rStyle w:val="Hyperlink"/>
          </w:rPr>
          <w:t xml:space="preserve">https://www.epa.nsw.gov.au/sites/default/files/09265cng.pdf</w:t>
        </w:r>
      </w:hyperlink>
    </w:p>
    <w:p>
      <w:pPr>
        <w:pStyle w:val="BodyText"/>
      </w:pPr>
      <w:hyperlink r:id="rId41">
        <w:r>
          <w:rPr>
            <w:rStyle w:val="Hyperlink"/>
          </w:rPr>
          <w:t xml:space="preserve">[23]</w:t>
        </w:r>
      </w:hyperlink>
      <w:r>
        <w:t xml:space="preserve"> </w:t>
      </w:r>
      <w:r>
        <w:t xml:space="preserve">https://www.epa.nsw.gov.au/sites/default/files/2011236nswroadnoisepolicy.pdf</w:t>
      </w:r>
    </w:p>
    <w:p>
      <w:pPr>
        <w:pStyle w:val="BodyText"/>
      </w:pPr>
      <w:hyperlink r:id="rId41">
        <w:r>
          <w:rPr>
            <w:rStyle w:val="Hyperlink"/>
          </w:rPr>
          <w:t xml:space="preserve">https://www.epa.nsw.gov.au/sites/default/files/2011236nswroadnoisepolicy.pdf</w:t>
        </w:r>
      </w:hyperlink>
    </w:p>
    <w:p>
      <w:pPr>
        <w:pStyle w:val="BodyText"/>
      </w:pPr>
      <w:hyperlink r:id="rId43">
        <w:r>
          <w:rPr>
            <w:rStyle w:val="Hyperlink"/>
          </w:rPr>
          <w:t xml:space="preserve">[25]</w:t>
        </w:r>
      </w:hyperlink>
      <w:r>
        <w:t xml:space="preserve"> </w:t>
      </w:r>
      <w:r>
        <w:t xml:space="preserve">Noise Policy for Industry</w:t>
      </w:r>
    </w:p>
    <w:p>
      <w:pPr>
        <w:pStyle w:val="BodyText"/>
      </w:pPr>
      <w:hyperlink r:id="rId43">
        <w:r>
          <w:rPr>
            <w:rStyle w:val="Hyperlink"/>
          </w:rPr>
          <w:t xml:space="preserve">https://www.epa.nsw.gov.au/sites/default/files/17p0524-noise-policy-for-industry.pdf</w:t>
        </w:r>
      </w:hyperlink>
    </w:p>
    <w:p>
      <w:pPr>
        <w:pStyle w:val="BodyText"/>
      </w:pPr>
      <w:hyperlink r:id="rId47">
        <w:r>
          <w:rPr>
            <w:rStyle w:val="Hyperlink"/>
          </w:rPr>
          <w:t xml:space="preserve">[31]</w:t>
        </w:r>
      </w:hyperlink>
      <w:r>
        <w:t xml:space="preserve"> </w:t>
      </w:r>
      <w:hyperlink r:id="rId47">
        <w:r>
          <w:rPr>
            <w:rStyle w:val="Hyperlink"/>
          </w:rPr>
          <w:t xml:space="preserve">[35]</w:t>
        </w:r>
      </w:hyperlink>
      <w:r>
        <w:t xml:space="preserve"> </w:t>
      </w:r>
      <w:hyperlink r:id="rId47">
        <w:r>
          <w:rPr>
            <w:rStyle w:val="Hyperlink"/>
          </w:rPr>
          <w:t xml:space="preserve">[36]</w:t>
        </w:r>
      </w:hyperlink>
      <w:r>
        <w:t xml:space="preserve"> </w:t>
      </w:r>
      <w:hyperlink r:id="rId47">
        <w:r>
          <w:rPr>
            <w:rStyle w:val="Hyperlink"/>
          </w:rPr>
          <w:t xml:space="preserve">[51]</w:t>
        </w:r>
      </w:hyperlink>
      <w:r>
        <w:t xml:space="preserve"> </w:t>
      </w:r>
      <w:r>
        <w:t xml:space="preserve">https://www.newcastle.edu.au/__data/assets/pdf_file/0009/1087056/20250916SJA_R0_Construction_Vibration_Monitoring_Report_1.pdf</w:t>
      </w:r>
    </w:p>
    <w:p>
      <w:pPr>
        <w:pStyle w:val="BodyText"/>
      </w:pPr>
      <w:hyperlink r:id="rId47">
        <w:r>
          <w:rPr>
            <w:rStyle w:val="Hyperlink"/>
          </w:rPr>
          <w:t xml:space="preserve">https://www.newcastle.edu.au/__data/assets/pdf_file/0009/1087056/20250916SJA_R0_Construction_Vibration_Monitoring_Report_1.pdf</w:t>
        </w:r>
      </w:hyperlink>
    </w:p>
    <w:p>
      <w:pPr>
        <w:pStyle w:val="BodyText"/>
      </w:pPr>
      <w:hyperlink r:id="rId53">
        <w:r>
          <w:rPr>
            <w:rStyle w:val="Hyperlink"/>
          </w:rPr>
          <w:t xml:space="preserve">[37]</w:t>
        </w:r>
      </w:hyperlink>
      <w:r>
        <w:t xml:space="preserve"> </w:t>
      </w:r>
      <w:hyperlink r:id="rId53">
        <w:r>
          <w:rPr>
            <w:rStyle w:val="Hyperlink"/>
          </w:rPr>
          <w:t xml:space="preserve">[52]</w:t>
        </w:r>
      </w:hyperlink>
      <w:r>
        <w:t xml:space="preserve"> </w:t>
      </w:r>
      <w:r>
        <w:t xml:space="preserve">https://eplanning.cityofsydney.nsw.gov.au/Common/Integration/FileDownload.ashx?ext=PDF&amp;filesize=102613&amp;id=%21%21UlYvZ2jgotp1G94PYXDXBwDt93FLJ2ENvYB4rQ%3D%3DImySbGVcmw%3D%3D&amp;modified=2011-12-27T20%3A41%3A40Z</w:t>
      </w:r>
    </w:p>
    <w:p>
      <w:pPr>
        <w:pStyle w:val="BodyText"/>
      </w:pPr>
      <w:hyperlink r:id="rId53">
        <w:r>
          <w:rPr>
            <w:rStyle w:val="Hyperlink"/>
          </w:rPr>
          <w:t xml:space="preserve">https://eplanning.cityofsydney.nsw.gov.au/Common/Integration/FileDownload.ashx?ext=PDF&amp;filesize=102613&amp;id=%21%21UlYvZ2jgotp1G94PYXDXBwDt93FLJ2ENvYB4rQ%3D%3DImySbGVcmw%3D%3D&amp;modified=2011-12-27T20%3A41%3A40Z</w:t>
        </w:r>
      </w:hyperlink>
    </w:p>
    <w:p>
      <w:pPr>
        <w:pStyle w:val="BodyText"/>
      </w:pPr>
      <w:hyperlink r:id="rId55">
        <w:r>
          <w:rPr>
            <w:rStyle w:val="Hyperlink"/>
          </w:rPr>
          <w:t xml:space="preserve">[38]</w:t>
        </w:r>
      </w:hyperlink>
      <w:r>
        <w:t xml:space="preserve"> </w:t>
      </w:r>
      <w:hyperlink r:id="rId55">
        <w:r>
          <w:rPr>
            <w:rStyle w:val="Hyperlink"/>
          </w:rPr>
          <w:t xml:space="preserve">[40]</w:t>
        </w:r>
      </w:hyperlink>
      <w:r>
        <w:t xml:space="preserve"> </w:t>
      </w:r>
      <w:r>
        <w:t xml:space="preserve">https://www.sydneymetro.info/sites/default/files/2021-09/Sydney_Metro_City_Southwest_Construction_Noise_and_Vibration%2520Strategy.pdf</w:t>
      </w:r>
    </w:p>
    <w:p>
      <w:pPr>
        <w:pStyle w:val="BodyText"/>
      </w:pPr>
      <w:hyperlink r:id="rId55">
        <w:r>
          <w:rPr>
            <w:rStyle w:val="Hyperlink"/>
          </w:rPr>
          <w:t xml:space="preserve">https://www.sydneymetro.info/sites/default/files/2021-09/Sydney_Metro_City_Southwest_Construction_Noise_and_Vibration%2520Strategy.pdf</w:t>
        </w:r>
      </w:hyperlink>
    </w:p>
    <w:p>
      <w:pPr>
        <w:pStyle w:val="BodyText"/>
      </w:pPr>
      <w:hyperlink r:id="rId56">
        <w:r>
          <w:rPr>
            <w:rStyle w:val="Hyperlink"/>
          </w:rPr>
          <w:t xml:space="preserve">[39]</w:t>
        </w:r>
      </w:hyperlink>
      <w:r>
        <w:t xml:space="preserve"> </w:t>
      </w:r>
      <w:r>
        <w:t xml:space="preserve">https://gamuda.com.au/wp-content/uploads/2022/07/WTP-Noise-and-Vibration-Management-Plan-Rev-C.pdf</w:t>
      </w:r>
    </w:p>
    <w:p>
      <w:pPr>
        <w:pStyle w:val="BodyText"/>
      </w:pPr>
      <w:hyperlink r:id="rId56">
        <w:r>
          <w:rPr>
            <w:rStyle w:val="Hyperlink"/>
          </w:rPr>
          <w:t xml:space="preserve">https://gamuda.com.au/wp-content/uploads/2022/07/WTP-Noise-and-Vibration-Management-Plan-Rev-C.pdf</w:t>
        </w:r>
      </w:hyperlink>
    </w:p>
    <w:p>
      <w:pPr>
        <w:pStyle w:val="BodyText"/>
      </w:pPr>
      <w:hyperlink r:id="rId65">
        <w:r>
          <w:rPr>
            <w:rStyle w:val="Hyperlink"/>
          </w:rPr>
          <w:t xml:space="preserve">[49]</w:t>
        </w:r>
      </w:hyperlink>
      <w:r>
        <w:t xml:space="preserve"> </w:t>
      </w:r>
      <w:r>
        <w:t xml:space="preserve">https://johnholland.com.au/uploads/Licence_21528_Issued_24_May_2021_79c9bfb4eb.pdf</w:t>
      </w:r>
    </w:p>
    <w:p>
      <w:pPr>
        <w:pStyle w:val="BodyText"/>
      </w:pPr>
      <w:hyperlink r:id="rId65">
        <w:r>
          <w:rPr>
            <w:rStyle w:val="Hyperlink"/>
          </w:rPr>
          <w:t xml:space="preserve">https://johnholland.com.au/uploads/Licence_21528_Issued_24_May_2021_79c9bfb4eb.pdf</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lassic.austlii.edu.au/au/legis/nsw/consol_act/poteoa1997455/s264.html?utm_source=chatgpt.com" TargetMode="External" /><Relationship Type="http://schemas.openxmlformats.org/officeDocument/2006/relationships/hyperlink" Id="rId28" Target="https://classic.austlii.edu.au/au/legis/nsw/consol_act/poteoa1997455/s268.html" TargetMode="External" /><Relationship Type="http://schemas.openxmlformats.org/officeDocument/2006/relationships/hyperlink" Id="rId27" Target="https://classic.austlii.edu.au/au/legis/nsw/consol_act/poteoa1997455/s276.html" TargetMode="External" /><Relationship Type="http://schemas.openxmlformats.org/officeDocument/2006/relationships/hyperlink" Id="rId25" Target="https://classic.austlii.edu.au/au/legis/nsw/consol_act/poteoa1997455/s96.html" TargetMode="External" /><Relationship Type="http://schemas.openxmlformats.org/officeDocument/2006/relationships/hyperlink" Id="rId23" Target="https://classic.austlii.edu.au/au/legis/nsw/consol_act/poteoa1997455/sch6.html" TargetMode="External" /><Relationship Type="http://schemas.openxmlformats.org/officeDocument/2006/relationships/hyperlink" Id="rId30" Target="https://cms.plenary.com/app/uploads/2024/06/SSD-10822510-Mod-3-Consolidated-Conditions.pdf" TargetMode="External" /><Relationship Type="http://schemas.openxmlformats.org/officeDocument/2006/relationships/hyperlink" Id="rId53" Target="https://eplanning.cityofsydney.nsw.gov.au/Common/Integration/FileDownload.ashx?ext=PDF&amp;filesize=102613&amp;id=%21%21UlYvZ2jgotp1G94PYXDXBwDt93FLJ2ENvYB4rQ%3D%3DImySbGVcmw%3D%3D&amp;modified=2011-12-27T20%3A41%3A40Z" TargetMode="External" /><Relationship Type="http://schemas.openxmlformats.org/officeDocument/2006/relationships/hyperlink" Id="rId56" Target="https://gamuda.com.au/wp-content/uploads/2022/07/WTP-Noise-and-Vibration-Management-Plan-Rev-C.pdf" TargetMode="External" /><Relationship Type="http://schemas.openxmlformats.org/officeDocument/2006/relationships/hyperlink" Id="rId65" Target="https://johnholland.com.au/uploads/Licence_21528_Issued_24_May_2021_79c9bfb4eb.pdf" TargetMode="External" /><Relationship Type="http://schemas.openxmlformats.org/officeDocument/2006/relationships/hyperlink" Id="rId36" Target="https://www.epa.nsw.gov.au/sites/default/files/09265cng.pdf" TargetMode="External" /><Relationship Type="http://schemas.openxmlformats.org/officeDocument/2006/relationships/hyperlink" Id="rId43" Target="https://www.epa.nsw.gov.au/sites/default/files/17p0524-noise-policy-for-industry.pdf" TargetMode="External" /><Relationship Type="http://schemas.openxmlformats.org/officeDocument/2006/relationships/hyperlink" Id="rId41" Target="https://www.epa.nsw.gov.au/sites/default/files/2011236nswroadnoisepolicy.pdf" TargetMode="External" /><Relationship Type="http://schemas.openxmlformats.org/officeDocument/2006/relationships/hyperlink" Id="rId34" Target="https://www.epa.nsw.gov.au/sites/default/files/20p2281-draft-construction-noise-guideline.pdf" TargetMode="External" /><Relationship Type="http://schemas.openxmlformats.org/officeDocument/2006/relationships/hyperlink" Id="rId22" Target="https://www.epa.nsw.gov.au/sites/default/files/anzecblasting.pdf" TargetMode="External" /><Relationship Type="http://schemas.openxmlformats.org/officeDocument/2006/relationships/hyperlink" Id="rId21" Target="https://www.epa.nsw.gov.au/sites/default/files/vibrationguide0643.pdf" TargetMode="External" /><Relationship Type="http://schemas.openxmlformats.org/officeDocument/2006/relationships/hyperlink" Id="rId47" Target="https://www.newcastle.edu.au/__data/assets/pdf_file/0009/1087056/20250916SJA_R0_Construction_Vibration_Monitoring_Report_1.pdf" TargetMode="External" /><Relationship Type="http://schemas.openxmlformats.org/officeDocument/2006/relationships/hyperlink" Id="rId31" Target="https://www.planningportal.nsw.gov.au/major-projects/assessment/policies-and-guidelines/key-guidance/noise-and-vibration" TargetMode="External" /><Relationship Type="http://schemas.openxmlformats.org/officeDocument/2006/relationships/hyperlink" Id="rId55" Target="https://www.sydneymetro.info/sites/default/files/2021-09/Sydney_Metro_City_Southwest_Construction_Noise_and_Vibration%2520Strategy.pdf" TargetMode="External" /></Relationships>
</file>

<file path=word/_rels/footnotes.xml.rels><?xml version="1.0" encoding="UTF-8"?><Relationships xmlns="http://schemas.openxmlformats.org/package/2006/relationships"><Relationship Type="http://schemas.openxmlformats.org/officeDocument/2006/relationships/hyperlink" Id="rId26" Target="https://classic.austlii.edu.au/au/legis/nsw/consol_act/poteoa1997455/s264.html?utm_source=chatgpt.com" TargetMode="External" /><Relationship Type="http://schemas.openxmlformats.org/officeDocument/2006/relationships/hyperlink" Id="rId28" Target="https://classic.austlii.edu.au/au/legis/nsw/consol_act/poteoa1997455/s268.html" TargetMode="External" /><Relationship Type="http://schemas.openxmlformats.org/officeDocument/2006/relationships/hyperlink" Id="rId27" Target="https://classic.austlii.edu.au/au/legis/nsw/consol_act/poteoa1997455/s276.html" TargetMode="External" /><Relationship Type="http://schemas.openxmlformats.org/officeDocument/2006/relationships/hyperlink" Id="rId25" Target="https://classic.austlii.edu.au/au/legis/nsw/consol_act/poteoa1997455/s96.html" TargetMode="External" /><Relationship Type="http://schemas.openxmlformats.org/officeDocument/2006/relationships/hyperlink" Id="rId23" Target="https://classic.austlii.edu.au/au/legis/nsw/consol_act/poteoa1997455/sch6.html" TargetMode="External" /><Relationship Type="http://schemas.openxmlformats.org/officeDocument/2006/relationships/hyperlink" Id="rId30" Target="https://cms.plenary.com/app/uploads/2024/06/SSD-10822510-Mod-3-Consolidated-Conditions.pdf" TargetMode="External" /><Relationship Type="http://schemas.openxmlformats.org/officeDocument/2006/relationships/hyperlink" Id="rId53" Target="https://eplanning.cityofsydney.nsw.gov.au/Common/Integration/FileDownload.ashx?ext=PDF&amp;filesize=102613&amp;id=%21%21UlYvZ2jgotp1G94PYXDXBwDt93FLJ2ENvYB4rQ%3D%3DImySbGVcmw%3D%3D&amp;modified=2011-12-27T20%3A41%3A40Z" TargetMode="External" /><Relationship Type="http://schemas.openxmlformats.org/officeDocument/2006/relationships/hyperlink" Id="rId56" Target="https://gamuda.com.au/wp-content/uploads/2022/07/WTP-Noise-and-Vibration-Management-Plan-Rev-C.pdf" TargetMode="External" /><Relationship Type="http://schemas.openxmlformats.org/officeDocument/2006/relationships/hyperlink" Id="rId65" Target="https://johnholland.com.au/uploads/Licence_21528_Issued_24_May_2021_79c9bfb4eb.pdf" TargetMode="External" /><Relationship Type="http://schemas.openxmlformats.org/officeDocument/2006/relationships/hyperlink" Id="rId36" Target="https://www.epa.nsw.gov.au/sites/default/files/09265cng.pdf" TargetMode="External" /><Relationship Type="http://schemas.openxmlformats.org/officeDocument/2006/relationships/hyperlink" Id="rId43" Target="https://www.epa.nsw.gov.au/sites/default/files/17p0524-noise-policy-for-industry.pdf" TargetMode="External" /><Relationship Type="http://schemas.openxmlformats.org/officeDocument/2006/relationships/hyperlink" Id="rId41" Target="https://www.epa.nsw.gov.au/sites/default/files/2011236nswroadnoisepolicy.pdf" TargetMode="External" /><Relationship Type="http://schemas.openxmlformats.org/officeDocument/2006/relationships/hyperlink" Id="rId34" Target="https://www.epa.nsw.gov.au/sites/default/files/20p2281-draft-construction-noise-guideline.pdf" TargetMode="External" /><Relationship Type="http://schemas.openxmlformats.org/officeDocument/2006/relationships/hyperlink" Id="rId22" Target="https://www.epa.nsw.gov.au/sites/default/files/anzecblasting.pdf" TargetMode="External" /><Relationship Type="http://schemas.openxmlformats.org/officeDocument/2006/relationships/hyperlink" Id="rId21" Target="https://www.epa.nsw.gov.au/sites/default/files/vibrationguide0643.pdf" TargetMode="External" /><Relationship Type="http://schemas.openxmlformats.org/officeDocument/2006/relationships/hyperlink" Id="rId47" Target="https://www.newcastle.edu.au/__data/assets/pdf_file/0009/1087056/20250916SJA_R0_Construction_Vibration_Monitoring_Report_1.pdf" TargetMode="External" /><Relationship Type="http://schemas.openxmlformats.org/officeDocument/2006/relationships/hyperlink" Id="rId31" Target="https://www.planningportal.nsw.gov.au/major-projects/assessment/policies-and-guidelines/key-guidance/noise-and-vibration" TargetMode="External" /><Relationship Type="http://schemas.openxmlformats.org/officeDocument/2006/relationships/hyperlink" Id="rId55" Target="https://www.sydneymetro.info/sites/default/files/2021-09/Sydney_Metro_City_Southwest_Construction_Noise_and_Vibration%2520Strateg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2026-04-10T13:18:40Z</dcterms:created>
  <dcterms:modified xsi:type="dcterms:W3CDTF">2026-04-10T13:18:40Z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