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DOC-AUTO-IND-099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EVIDENCE FOR IND-099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ROM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AAC-1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IND-099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GOV - Management &amp; Governance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IND-099</w:t>
      </w:r>
    </w:p>
    <w:p>
      <w:pPr>
        <w:pStyle w:val="Heading3"/>
      </w:pPr>
      <w:r>
        <w:t>1. Purpose</w:t>
      </w:r>
    </w:p>
    <w:p>
      <w:r>
        <w:t>This document provides evidence and guidelines regarding: Evidence for IND-099.</w:t>
      </w:r>
    </w:p>
    <w:p>
      <w:pPr>
        <w:pStyle w:val="Heading3"/>
      </w:pPr>
      <w:r>
        <w:t>2. Description</w:t>
      </w:r>
    </w:p>
    <w:p>
      <w:r>
        <w:t>Auto-generated planning document for IND-099.</w:t>
      </w:r>
    </w:p>
    <w:p>
      <w:pPr>
        <w:pStyle w:val="Heading3"/>
      </w:pPr>
      <w:r>
        <w:t>3. Guidelines / Instructions</w:t>
      </w:r>
    </w:p>
    <w:p>
      <w:pPr>
        <w:pStyle w:val="ListBullet"/>
      </w:pPr>
      <w:r>
        <w:t>Ensure compliance with all PHC MSDS standards linked to this document.</w:t>
      </w:r>
    </w:p>
    <w:p>
      <w:pPr>
        <w:pStyle w:val="ListBullet"/>
      </w:pPr>
      <w:r>
        <w:t>Follow standard operating procedures relevant to this section.</w:t>
      </w:r>
    </w:p>
    <w:p>
      <w:pPr>
        <w:pStyle w:val="ListBullet"/>
      </w:pPr>
      <w:r>
        <w:t>If this requires a physical record, maintain it in the designated file.</w:t>
      </w:r>
    </w:p>
    <w:p>
      <w:pPr>
        <w:pStyle w:val="Heading3"/>
      </w:pPr>
      <w:r>
        <w:t>4. Review</w:t>
      </w:r>
    </w:p>
    <w:p>
      <w:r>
        <w:t>This document is subject to periodic review by the Laboratory Management.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DOC-AUTO-IND-099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