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DOC-BSBS-01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BIOSAFETY SOP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IND-079, IND-080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IND-079, IND-080</w:t>
      </w:r>
    </w:p>
    <w:p>
      <w:pPr>
        <w:pStyle w:val="Heading3"/>
      </w:pPr>
      <w:r>
        <w:t>1. Biosafety and Spill Management SOP</w:t>
      </w:r>
    </w:p>
    <w:p>
      <w:r>
        <w:t>Ensures the protection of staff and the environment from biological hazards.</w:t>
      </w:r>
    </w:p>
    <w:p>
      <w:pPr>
        <w:pStyle w:val="Heading3"/>
      </w:pPr>
      <w:r>
        <w:t>2. General Biosafety Rules</w:t>
      </w:r>
    </w:p>
    <w:p>
      <w:pPr>
        <w:pStyle w:val="ListBullet"/>
      </w:pPr>
      <w:r>
        <w:t>PPE (Gloves, Lab Coats, Masks) is mandatory in the analytical area.</w:t>
      </w:r>
    </w:p>
    <w:p>
      <w:pPr>
        <w:pStyle w:val="ListBullet"/>
      </w:pPr>
      <w:r>
        <w:t>Mouth pipetting is strictly prohibited.</w:t>
      </w:r>
    </w:p>
    <w:p>
      <w:pPr>
        <w:pStyle w:val="ListBullet"/>
      </w:pPr>
      <w:r>
        <w:t>Eating, drinking, and applying cosmetics in the lab are prohibited.</w:t>
      </w:r>
    </w:p>
    <w:p>
      <w:pPr>
        <w:pStyle w:val="ListBullet"/>
      </w:pPr>
      <w:r>
        <w:t>Hands must be washed after handling samples and before leaving the lab.</w:t>
      </w:r>
    </w:p>
    <w:p>
      <w:pPr>
        <w:pStyle w:val="Heading3"/>
      </w:pPr>
      <w:r>
        <w:t>3. Spill Management Protocol (Spill Kit)</w:t>
      </w:r>
    </w:p>
    <w:p>
      <w:pPr>
        <w:pStyle w:val="ListBullet"/>
      </w:pPr>
      <w:r>
        <w:t>**Spill Kit Contents:** Hypochlorite solution (10%), absorbent material, forceps/scoop, biohazard bags, heavy-duty gloves, safety goggles.</w:t>
      </w:r>
    </w:p>
    <w:p>
      <w:pPr>
        <w:pStyle w:val="ListBullet"/>
      </w:pPr>
      <w:r>
        <w:t>**Procedure:**</w:t>
      </w:r>
    </w:p>
    <w:p>
      <w:pPr>
        <w:pStyle w:val="ListNumber"/>
      </w:pPr>
      <w:r>
        <w:t>Wear PPE.</w:t>
      </w:r>
    </w:p>
    <w:p>
      <w:pPr>
        <w:pStyle w:val="ListNumber"/>
      </w:pPr>
      <w:r>
        <w:t>Cover the spill with absorbent material.</w:t>
      </w:r>
    </w:p>
    <w:p>
      <w:pPr>
        <w:pStyle w:val="ListNumber"/>
      </w:pPr>
      <w:r>
        <w:t>Pour 10% Hypochlorite over the material and wait 20 minutes.</w:t>
      </w:r>
    </w:p>
    <w:p>
      <w:pPr>
        <w:pStyle w:val="ListNumber"/>
      </w:pPr>
      <w:r>
        <w:t>Collect carefully using forceps and discard in a yellow biohazard bag.</w:t>
      </w:r>
    </w:p>
    <w:p>
      <w:pPr>
        <w:pStyle w:val="ListNumber"/>
      </w:pPr>
      <w:r>
        <w:t>Mop the area with water.</w:t>
      </w:r>
    </w:p>
    <w:p>
      <w:pPr>
        <w:pStyle w:val="Heading3"/>
      </w:pPr>
      <w:r>
        <w:t>4. Sample Transportation</w:t>
      </w:r>
    </w:p>
    <w:p>
      <w:pPr>
        <w:pStyle w:val="ListBullet"/>
      </w:pPr>
      <w:r>
        <w:t>Samples transported from collection centers must be in sealed, leak-proof primary containers.</w:t>
      </w:r>
    </w:p>
    <w:p>
      <w:pPr>
        <w:pStyle w:val="ListBullet"/>
      </w:pPr>
      <w:r>
        <w:t>Secondary transport boxes must be rigid, insulated, and contain cool packs to maintain cold chain.</w:t>
      </w:r>
    </w:p>
    <w:p>
      <w:pPr>
        <w:pStyle w:val="ListBullet"/>
      </w:pPr>
      <w:r>
        <w:t>Transport boxes must display a Biohazard symbol.</w:t>
      </w:r>
    </w:p>
    <w:p>
      <w:pPr>
        <w:pStyle w:val="Heading3"/>
      </w:pPr>
      <w:r>
        <w:t>5. Responsibility</w:t>
      </w:r>
    </w:p>
    <w:p>
      <w:r>
        <w:t>The appointed Biosafety Focal Person monitors compliance and maintains the Incident Register.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DOC-BSBS-01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