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DOC-MER-01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REAGENT STORAGE AND USE SOP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SOP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MER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MER-2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IND-045, IND-046, IND-047, IND-048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MER - Equipment &amp; Reagent Management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IND-045, IND-046, IND-047, IND-048</w:t>
      </w:r>
    </w:p>
    <w:p>
      <w:pPr>
        <w:pStyle w:val="Heading3"/>
      </w:pPr>
      <w:r>
        <w:t>1. Reagent Storage and Use SOP</w:t>
      </w:r>
    </w:p>
    <w:p>
      <w:r>
        <w:t>Ensures reagents maintain their efficacy.</w:t>
      </w:r>
    </w:p>
    <w:p>
      <w:pPr>
        <w:pStyle w:val="Heading3"/>
      </w:pPr>
      <w:r>
        <w:t>2. Storage Guidelines</w:t>
      </w:r>
    </w:p>
    <w:p>
      <w:pPr>
        <w:pStyle w:val="ListBullet"/>
      </w:pPr>
      <w:r>
        <w:t>Reagents must be stored strictly according to manufacturer instructions (e.g., 2-8°C, -20°C, or Room Temp).</w:t>
      </w:r>
    </w:p>
    <w:p>
      <w:pPr>
        <w:pStyle w:val="ListBullet"/>
      </w:pPr>
      <w:r>
        <w:t>Refrigerators must be monitored daily (Temperature Log).</w:t>
      </w:r>
    </w:p>
    <w:p>
      <w:pPr>
        <w:pStyle w:val="ListBullet"/>
      </w:pPr>
      <w:r>
        <w:t>Food items are strictly prohibited in reagent refrigerators.</w:t>
      </w:r>
    </w:p>
    <w:p>
      <w:pPr>
        <w:pStyle w:val="Heading3"/>
      </w:pPr>
      <w:r>
        <w:t>3. Reagent Labeling Format</w:t>
      </w:r>
    </w:p>
    <w:p>
      <w:r>
        <w:t>When reagents are prepared in-house or transferred to secondary containers, they must bear the following label:</w:t>
      </w:r>
    </w:p>
    <w:p>
      <w:pPr>
        <w:pStyle w:val="ListBullet"/>
      </w:pPr>
      <w:r>
        <w:t>**Reagent Name:**</w:t>
      </w:r>
    </w:p>
    <w:p>
      <w:pPr>
        <w:pStyle w:val="ListBullet"/>
      </w:pPr>
      <w:r>
        <w:t>**Concentration:**</w:t>
      </w:r>
    </w:p>
    <w:p>
      <w:pPr>
        <w:pStyle w:val="ListBullet"/>
      </w:pPr>
      <w:r>
        <w:t>**Date Prepared/Opened:**</w:t>
      </w:r>
    </w:p>
    <w:p>
      <w:pPr>
        <w:pStyle w:val="ListBullet"/>
      </w:pPr>
      <w:r>
        <w:t>**Expiry Date:**</w:t>
      </w:r>
    </w:p>
    <w:p>
      <w:pPr>
        <w:pStyle w:val="ListBullet"/>
      </w:pPr>
      <w:r>
        <w:t>**Prepared By (Initials):**</w:t>
      </w:r>
    </w:p>
    <w:p>
      <w:pPr>
        <w:pStyle w:val="Heading3"/>
      </w:pPr>
      <w:r>
        <w:t>4. Near-Expiry Alert</w:t>
      </w:r>
    </w:p>
    <w:p>
      <w:r>
        <w:t>Reagents expiring within the month must be flagged visually (e.g., red sticker) and noted in the log.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DOC-MER-01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