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6480"/>
            <w:gridSpan w:val="3"/>
          </w:tcPr>
          <w:p>
            <w:r>
              <w:rPr>
                <w:b/>
                <w:sz w:val="28"/>
              </w:rPr>
              <w:t>Al Shifa Laboratory</w:t>
              <w:br/>
              <w:t>Circular Road, Jaranwala</w:t>
            </w:r>
          </w:p>
        </w:tc>
        <w:tc>
          <w:tcPr>
            <w:tcW w:type="dxa" w:w="2160"/>
          </w:tcPr>
          <w:p>
            <w:r>
              <w:t>Doc Code: DOC-PAT-02</w:t>
              <w:br/>
              <w:t>Version: 1.0</w:t>
            </w:r>
          </w:p>
        </w:tc>
      </w:tr>
      <w:tr>
        <w:tc>
          <w:tcPr>
            <w:tcW w:type="dxa" w:w="8640"/>
            <w:gridSpan w:val="4"/>
          </w:tcPr>
          <w:p>
            <w:pPr>
              <w:jc w:val="center"/>
            </w:pPr>
            <w:r>
              <w:rPr>
                <w:b/>
                <w:sz w:val="32"/>
              </w:rPr>
              <w:t>CONFIDENTIALITY POLICY</w:t>
            </w:r>
          </w:p>
        </w:tc>
      </w:tr>
      <w:tr>
        <w:tc>
          <w:tcPr>
            <w:tcW w:type="dxa" w:w="2160"/>
          </w:tcPr>
          <w:p>
            <w:r>
              <w:t>Effective Date:</w:t>
            </w:r>
          </w:p>
        </w:tc>
        <w:tc>
          <w:tcPr>
            <w:tcW w:type="dxa" w:w="2160"/>
          </w:tcPr>
          <w:p>
            <w:r>
              <w:t>________________</w:t>
            </w:r>
          </w:p>
        </w:tc>
        <w:tc>
          <w:tcPr>
            <w:tcW w:type="dxa" w:w="2160"/>
          </w:tcPr>
          <w:p>
            <w:r>
              <w:t>Review Date:</w:t>
            </w:r>
          </w:p>
        </w:tc>
        <w:tc>
          <w:tcPr>
            <w:tcW w:type="dxa" w:w="2160"/>
          </w:tcPr>
          <w:p>
            <w:r>
              <w:t>________________</w:t>
            </w:r>
          </w:p>
        </w:tc>
      </w:tr>
      <w:tr>
        <w:tc>
          <w:tcPr>
            <w:tcW w:type="dxa" w:w="2160"/>
          </w:tcPr>
          <w:p>
            <w:r>
              <w:t>Document Type:</w:t>
            </w:r>
          </w:p>
        </w:tc>
        <w:tc>
          <w:tcPr>
            <w:tcW w:type="dxa" w:w="2160"/>
          </w:tcPr>
          <w:p>
            <w:r>
              <w:t>Policy</w:t>
            </w:r>
          </w:p>
        </w:tc>
        <w:tc>
          <w:tcPr>
            <w:tcW w:type="dxa" w:w="2160"/>
          </w:tcPr>
          <w:p>
            <w:r>
              <w:t>Status:</w:t>
            </w:r>
          </w:p>
        </w:tc>
        <w:tc>
          <w:tcPr>
            <w:tcW w:type="dxa" w:w="2160"/>
          </w:tcPr>
          <w:p>
            <w:r>
              <w:t>Waiting for Approval</w:t>
            </w:r>
          </w:p>
        </w:tc>
      </w:tr>
    </w:tbl>
    <w:p/>
    <w:p>
      <w:pPr>
        <w:pStyle w:val="Heading2"/>
      </w:pPr>
      <w:r>
        <w:t>PHC/MSDS MAPPING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b/>
              </w:rPr>
              <w:t>Functional Area</w:t>
            </w:r>
          </w:p>
        </w:tc>
        <w:tc>
          <w:tcPr>
            <w:tcW w:type="dxa" w:w="4320"/>
          </w:tcPr>
          <w:p>
            <w:r>
              <w:t>PRE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Standard</w:t>
            </w:r>
          </w:p>
        </w:tc>
        <w:tc>
          <w:tcPr>
            <w:tcW w:type="dxa" w:w="4320"/>
          </w:tcPr>
          <w:p>
            <w:r>
              <w:t>PRE-3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Indicator(s)</w:t>
            </w:r>
          </w:p>
        </w:tc>
        <w:tc>
          <w:tcPr>
            <w:tcW w:type="dxa" w:w="4320"/>
          </w:tcPr>
          <w:p>
            <w:r>
              <w:t>IND-118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Evidence Pack</w:t>
            </w:r>
          </w:p>
        </w:tc>
        <w:tc>
          <w:tcPr>
            <w:tcW w:type="dxa" w:w="4320"/>
          </w:tcPr>
          <w:p>
            <w:r>
              <w:t>PATIENT - Patient Rights, Access &amp; Complaints Pack</w:t>
            </w:r>
          </w:p>
        </w:tc>
      </w:tr>
    </w:tbl>
    <w:p/>
    <w:p>
      <w:pPr>
        <w:pStyle w:val="Heading2"/>
      </w:pPr>
      <w:r>
        <w:t>DOCUMENT BODY</w:t>
      </w:r>
    </w:p>
    <w:p>
      <w:r>
        <w:t>**Related PHC/MSDS Indicator(s):** IND-118</w:t>
      </w:r>
    </w:p>
    <w:p>
      <w:pPr>
        <w:pStyle w:val="Heading3"/>
      </w:pPr>
      <w:r>
        <w:t>1. Patient Confidentiality &amp; Consent Policy</w:t>
      </w:r>
    </w:p>
    <w:p>
      <w:pPr>
        <w:pStyle w:val="Heading3"/>
      </w:pPr>
      <w:r>
        <w:t>2. Confidentiality Rules</w:t>
      </w:r>
    </w:p>
    <w:p>
      <w:pPr>
        <w:pStyle w:val="ListBullet"/>
      </w:pPr>
      <w:r>
        <w:t>All patient records, test results, and personal information are strictly confidential.</w:t>
      </w:r>
    </w:p>
    <w:p>
      <w:pPr>
        <w:pStyle w:val="ListBullet"/>
      </w:pPr>
      <w:r>
        <w:t>Staff must not discuss patient details in public areas (e.g., reception).</w:t>
      </w:r>
    </w:p>
    <w:p>
      <w:pPr>
        <w:pStyle w:val="ListBullet"/>
      </w:pPr>
      <w:r>
        <w:t>Results are only issued to the patient or an authorized representative holding the receipt.</w:t>
      </w:r>
    </w:p>
    <w:p>
      <w:pPr>
        <w:pStyle w:val="Heading3"/>
      </w:pPr>
      <w:r>
        <w:t>3. Informed Consent</w:t>
      </w:r>
    </w:p>
    <w:p>
      <w:pPr>
        <w:pStyle w:val="ListBullet"/>
      </w:pPr>
      <w:r>
        <w:t>**Implied Consent:** Rolling up a sleeve for phlebotomy is considered implied consent for routine tests.</w:t>
      </w:r>
    </w:p>
    <w:p>
      <w:pPr>
        <w:pStyle w:val="ListBullet"/>
      </w:pPr>
      <w:r>
        <w:t>**Explicit / Written Consent:** Required for sensitive tests (e.g., HIV) or invasive procedures beyond standard phlebotomy.</w:t>
      </w:r>
    </w:p>
    <w:p>
      <w:pPr>
        <w:pStyle w:val="ListBullet"/>
      </w:pPr>
      <w:r>
        <w:t>**Minors/Incapacitated:** Consent must be taken from a parent or legal guardian.</w:t>
      </w:r>
    </w:p>
    <w:p>
      <w:pPr>
        <w:pStyle w:val="Heading3"/>
      </w:pPr>
      <w:r>
        <w:t>4. Staff Awareness</w:t>
      </w:r>
    </w:p>
    <w:p>
      <w:r>
        <w:t>All staff must sign a confidentiality undertaking upon joining.</w:t>
      </w:r>
    </w:p>
    <w:p>
      <w:r>
        <w:t>---</w:t>
      </w:r>
    </w:p>
    <w:p/>
    <w:p>
      <w:pPr>
        <w:pStyle w:val="Heading2"/>
      </w:pPr>
      <w:r>
        <w:t>APPROVAL &amp;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/>
          <w:p>
            <w:r>
              <w:rPr>
                <w:b/>
              </w:rPr>
              <w:t>Prepared by:</w:t>
            </w:r>
            <w:r>
              <w:br/>
              <w:t>Dr. Muhammad Munaim Tahir</w:t>
              <w:br/>
              <w:t>Lab Manager / In-charge</w:t>
              <w:br/>
              <w:br/>
              <w:t>Signature: ___________________</w:t>
              <w:br/>
              <w:t>Date: ___________________</w:t>
            </w:r>
          </w:p>
        </w:tc>
        <w:tc>
          <w:tcPr>
            <w:tcW w:type="dxa" w:w="4320"/>
          </w:tcPr>
          <w:p/>
          <w:p>
            <w:r>
              <w:rPr>
                <w:b/>
              </w:rPr>
              <w:t>Reviewed and Approved by:</w:t>
            </w:r>
            <w:r>
              <w:br/>
              <w:t>Dr. Mubasher Ahmed</w:t>
              <w:br/>
              <w:t>Consultant Pathologist</w:t>
              <w:br/>
              <w:br/>
              <w:t>Signature: ___________________</w:t>
              <w:br/>
              <w:t>Date: ___________________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p/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Al Shifa Laboratory | DOC-PAT-02 | v1.0 | Controlled Document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