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DOC-QA-01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QUALITY ASSURANCE SOP (IQA &amp; EQA)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IND-063, IND-064, IND-065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IND-063, IND-064, IND-065</w:t>
      </w:r>
    </w:p>
    <w:p>
      <w:pPr>
        <w:pStyle w:val="Heading3"/>
      </w:pPr>
      <w:r>
        <w:t>1. Purpose</w:t>
      </w:r>
    </w:p>
    <w:p>
      <w:r>
        <w:t>To define the Quality Assurance (QA) program for Al Shifa Laboratory, covering both Internal Quality Assurance (IQA) and External Quality Assurance (EQA).</w:t>
      </w:r>
    </w:p>
    <w:p>
      <w:pPr>
        <w:pStyle w:val="Heading3"/>
      </w:pPr>
      <w:r>
        <w:t>2. Scope</w:t>
      </w:r>
    </w:p>
    <w:p>
      <w:r>
        <w:t>Applies to all analytical processes within the laboratory.</w:t>
      </w:r>
    </w:p>
    <w:p>
      <w:pPr>
        <w:pStyle w:val="Heading3"/>
      </w:pPr>
      <w:r>
        <w:t>3. Internal Quality Assurance (IQA)</w:t>
      </w:r>
    </w:p>
    <w:p>
      <w:pPr>
        <w:pStyle w:val="ListBullet"/>
      </w:pPr>
      <w:r>
        <w:t>Control samples shall be run daily or with each batch of tests as appropriate.</w:t>
      </w:r>
    </w:p>
    <w:p>
      <w:pPr>
        <w:pStyle w:val="ListBullet"/>
      </w:pPr>
      <w:r>
        <w:t>IQA results must be documented in the IQA Control Record.</w:t>
      </w:r>
    </w:p>
    <w:p>
      <w:pPr>
        <w:pStyle w:val="ListBullet"/>
      </w:pPr>
      <w:r>
        <w:t>Any out-of-range results require immediate corrective action before patient testing resumes.</w:t>
      </w:r>
    </w:p>
    <w:p>
      <w:pPr>
        <w:pStyle w:val="ListBullet"/>
      </w:pPr>
      <w:r>
        <w:t>The QA Focal Person will review IQA records weekly.</w:t>
      </w:r>
    </w:p>
    <w:p>
      <w:pPr>
        <w:pStyle w:val="Heading3"/>
      </w:pPr>
      <w:r>
        <w:t>4. External Quality Assurance (EQA)</w:t>
      </w:r>
    </w:p>
    <w:p>
      <w:pPr>
        <w:pStyle w:val="ListBullet"/>
      </w:pPr>
      <w:r>
        <w:t>The laboratory participates in recognized EQA schemes for core parameters.</w:t>
      </w:r>
    </w:p>
    <w:p>
      <w:pPr>
        <w:pStyle w:val="ListBullet"/>
      </w:pPr>
      <w:r>
        <w:t>EQA samples are processed blindly like normal patient samples.</w:t>
      </w:r>
    </w:p>
    <w:p>
      <w:pPr>
        <w:pStyle w:val="ListBullet"/>
      </w:pPr>
      <w:r>
        <w:t>EQA reports are reviewed by the Consultant Pathologist.</w:t>
      </w:r>
    </w:p>
    <w:p>
      <w:pPr>
        <w:pStyle w:val="ListBullet"/>
      </w:pPr>
      <w:r>
        <w:t>Poor EQA performance requires documented root cause analysis and corrective action.</w:t>
      </w:r>
    </w:p>
    <w:p>
      <w:pPr>
        <w:pStyle w:val="Heading3"/>
      </w:pPr>
      <w:r>
        <w:t>5. Staff Awareness</w:t>
      </w:r>
    </w:p>
    <w:p>
      <w:r>
        <w:t>All technical staff must be trained on this SOP and sign the awareness log.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DOC-QA-01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