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One-Time Indicator Compliance Bundle — Review &amp; Approval Tracker</w:t>
      </w:r>
    </w:p>
    <w:p>
      <w:pPr>
        <w:spacing w:after="300"/>
      </w:pPr>
      <w:r>
        <w:rPr>
          <w:sz w:val="20"/>
          <w:szCs w:val="20"/>
        </w:rPr>
        <w:t xml:space="preserve">Phase 1 of the AccrediOps compliance run: 17 documents drafted to satisfy PHC MSDS's 32 one-time indicators. Each document is DRAFT status until both signatures are obtained on the document itself. Use this sheet to track review progress across the set.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300"/>
        <w:gridCol w:w="1600"/>
        <w:gridCol w:w="1600"/>
        <w:gridCol w:w="13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 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Indicator(s)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Reviewed by Dr. Mubashr (✓)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Approved by Dr. Munaim (✓)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Filed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Memorandum of Understanding — Referral Laboratory Linkage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Policy &amp; SOP Manual — Governing Document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Emergency Policy &amp; Standard Operating Procedures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Budget Approval &amp; Resource Allocation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Section Head Appointment Policy &amp; Letters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Recruitment &amp; Job Description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#25, #26, #27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Orientation, Policy Awareness &amp; Appraisal Induction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#28, #29, #33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In-Service Training Plan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#37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Procurement Procedure SOP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#41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Reagent Management SOP — Storage, Use &amp; Labelling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#45, #48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Quality Assurance Program &amp; Focal Person Designation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#63, #64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ASL-SOP-12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Specimen Management SOP — Collection Through Disposal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#68, #69, #70, #71, #72, #73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ASL-SOP-13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 SOP &amp; Governance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#79, #80, #81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ASL-SOP-14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Waste Management SOP &amp; Governance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#92, #93, #95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ASL-SOP-15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First Aid &amp; Emergency Patient Care Protocol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#106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Consent Policy — Incapable Patients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ASL-POL-17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Additional / Incidental Reports Disclosure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#115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  <w:r>
        <w:rPr>
          <w:i/>
          <w:iCs/>
          <w:color w:val="595959"/>
          <w:sz w:val="18"/>
          <w:szCs w:val="18"/>
        </w:rPr>
        <w:t xml:space="preserve">Next: once these are reviewed and approved, Phase 2 (recurring indicator templates) and Phase 3 (physical indicator gap checklist) follow, per the plan discussed.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2026-08-03T21:59:50.911Z</dcterms:created>
  <dcterms:modified xsi:type="dcterms:W3CDTF">2026-08-03T21:59:50.911Z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