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32"/>
          <w:szCs w:val="32"/>
        </w:rPr>
        <w:t xml:space="preserve">AL SHIFA LABORATORY</w:t>
      </w:r>
    </w:p>
    <w:p>
      <w:pPr>
        <w:spacing w:after="200"/>
        <w:jc w:val="center"/>
      </w:pPr>
      <w:r>
        <w:rPr>
          <w:i/>
          <w:iCs/>
          <w:color w:val="595959"/>
          <w:sz w:val="18"/>
          <w:szCs w:val="18"/>
        </w:rPr>
        <w:t xml:space="preserve">PHC Registration No. P-20787  ·  Circular Road, Jaranwala, Punjab</w:t>
      </w:r>
    </w:p>
    <w:p>
      <w:pPr>
        <w:spacing w:after="60"/>
        <w:jc w:val="center"/>
      </w:pPr>
      <w:r>
        <w:rPr>
          <w:color w:val="595959"/>
          <w:sz w:val="20"/>
          <w:szCs w:val="20"/>
        </w:rPr>
        <w:t xml:space="preserve">Policy</w:t>
      </w:r>
    </w:p>
    <w:p>
      <w:pPr>
        <w:spacing w:after="300"/>
        <w:jc w:val="center"/>
      </w:pPr>
      <w:r>
        <w:rPr>
          <w:b/>
          <w:bCs/>
          <w:sz w:val="34"/>
          <w:szCs w:val="34"/>
        </w:rPr>
        <w:t xml:space="preserve">Budget Approval &amp; Resource Allocation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Document No.</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ASL-POL-04</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Document Type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Policy</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Version</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1.0  (Draft)</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Status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C00000"/>
                <w:sz w:val="19"/>
                <w:szCs w:val="19"/>
              </w:rPr>
              <w:t xml:space="preserve">DRAFT — PENDING PATHOLOGIST APPROVAL</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Applies To</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Al Shifa Laboratory, Circular Road, Jaranwala, Punjab (PHC Reg. No. P-20787)</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Related MSDS Indicator(s)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#10 (ROM-3)</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Effective Date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___________________  (to be entered on approval)</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Next Scheduled Review</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2–3 years from effective date (per locked SOP revision policy)</w:t>
            </w:r>
          </w:p>
        </w:tc>
      </w:tr>
    </w:tbl>
    <w:p>
      <w:pPr>
        <w:spacing w:after="200"/>
      </w:pPr>
    </w:p>
    <w:p>
      <w:pPr>
        <w:pStyle w:val="Heading1"/>
        <w:spacing w:after="140" w:before="280"/>
      </w:pPr>
      <w:r>
        <w:rPr>
          <w:b/>
          <w:bCs/>
          <w:color w:val="1F4E78"/>
          <w:sz w:val="26"/>
          <w:szCs w:val="26"/>
        </w:rPr>
        <w:t xml:space="preserve">1. Purpose</w:t>
      </w:r>
    </w:p>
    <w:p>
      <w:pPr>
        <w:spacing w:after="140"/>
        <w:jc w:val="both"/>
      </w:pPr>
      <w:r>
        <w:rPr>
          <w:b w:val="false"/>
          <w:bCs w:val="false"/>
          <w:i w:val="false"/>
          <w:iCs w:val="false"/>
          <w:sz w:val="21"/>
          <w:szCs w:val="21"/>
        </w:rPr>
        <w:t xml:space="preserve">This policy ensures that laboratory budget approval and resource allocation are timely and sufficient, so that premises, staffing, equipment and consumables remain adequate and no delay in reporting test results ever occurs due to lack of resources.</w:t>
      </w:r>
    </w:p>
    <w:p>
      <w:pPr>
        <w:pStyle w:val="Heading1"/>
        <w:spacing w:after="140" w:before="280"/>
      </w:pPr>
      <w:r>
        <w:rPr>
          <w:b/>
          <w:bCs/>
          <w:color w:val="1F4E78"/>
          <w:sz w:val="26"/>
          <w:szCs w:val="26"/>
        </w:rPr>
        <w:t xml:space="preserve">2. Scope</w:t>
      </w:r>
    </w:p>
    <w:p>
      <w:pPr>
        <w:spacing w:after="140"/>
        <w:jc w:val="both"/>
      </w:pPr>
      <w:r>
        <w:rPr>
          <w:b w:val="false"/>
          <w:bCs w:val="false"/>
          <w:i w:val="false"/>
          <w:iCs w:val="false"/>
          <w:sz w:val="21"/>
          <w:szCs w:val="21"/>
        </w:rPr>
        <w:t xml:space="preserve">Applies to annual budgeting and any ad hoc/emergency resource request at Al Shifa Laboratory.</w:t>
      </w:r>
    </w:p>
    <w:p>
      <w:pPr>
        <w:pStyle w:val="Heading1"/>
        <w:spacing w:after="140" w:before="280"/>
      </w:pPr>
      <w:r>
        <w:rPr>
          <w:b/>
          <w:bCs/>
          <w:color w:val="1F4E78"/>
          <w:sz w:val="26"/>
          <w:szCs w:val="26"/>
        </w:rPr>
        <w:t xml:space="preserve">3. Responsibility</w:t>
      </w:r>
    </w:p>
    <w:p>
      <w:pPr>
        <w:pStyle w:val="ListParagraph"/>
        <w:numPr>
          <w:ilvl w:val="0"/>
          <w:numId w:val="2"/>
        </w:numPr>
        <w:spacing w:after="80"/>
      </w:pPr>
      <w:r>
        <w:rPr>
          <w:sz w:val="21"/>
          <w:szCs w:val="21"/>
        </w:rPr>
        <w:t xml:space="preserve">Dr. Munaim Tahir — reviews and approves the budget and all resource allocation decisions.</w:t>
      </w:r>
    </w:p>
    <w:p>
      <w:pPr>
        <w:pStyle w:val="ListParagraph"/>
        <w:numPr>
          <w:ilvl w:val="0"/>
          <w:numId w:val="2"/>
        </w:numPr>
        <w:spacing w:after="80"/>
      </w:pPr>
      <w:r>
        <w:rPr>
          <w:sz w:val="21"/>
          <w:szCs w:val="21"/>
        </w:rPr>
        <w:t xml:space="preserve">Dr. Mubashr Ahmed — provides technical input on equipment, reagent, and staffing needs across all sections.</w:t>
      </w:r>
    </w:p>
    <w:p>
      <w:pPr>
        <w:pStyle w:val="Heading1"/>
        <w:spacing w:after="140" w:before="280"/>
      </w:pPr>
      <w:r>
        <w:rPr>
          <w:b/>
          <w:bCs/>
          <w:color w:val="1F4E78"/>
          <w:sz w:val="26"/>
          <w:szCs w:val="26"/>
        </w:rPr>
        <w:t xml:space="preserve">4. Procedure</w:t>
      </w:r>
    </w:p>
    <w:p>
      <w:pPr>
        <w:pStyle w:val="ListParagraph"/>
        <w:numPr>
          <w:ilvl w:val="0"/>
          <w:numId w:val="3"/>
        </w:numPr>
        <w:spacing w:after="80"/>
      </w:pPr>
      <w:r>
        <w:rPr>
          <w:sz w:val="21"/>
          <w:szCs w:val="21"/>
        </w:rPr>
        <w:t xml:space="preserve">Annual Budget Planning — each November, Dr. Mubashr Ahmed submits projected consumable, reagent and equipment needs for the coming year across all four sections (Hematology (Routine), Microbiology (Routine — no cultures), Biochemistry (Routine), Immunology (Routine)).</w:t>
      </w:r>
    </w:p>
    <w:p>
      <w:pPr>
        <w:pStyle w:val="ListParagraph"/>
        <w:numPr>
          <w:ilvl w:val="0"/>
          <w:numId w:val="3"/>
        </w:numPr>
        <w:spacing w:after="80"/>
      </w:pPr>
      <w:r>
        <w:rPr>
          <w:sz w:val="21"/>
          <w:szCs w:val="21"/>
        </w:rPr>
        <w:t xml:space="preserve">Approval — Dr. Munaim Tahir reviews and signs the Annual Budget Approval Form (Section 5).</w:t>
      </w:r>
    </w:p>
    <w:p>
      <w:pPr>
        <w:pStyle w:val="ListParagraph"/>
        <w:numPr>
          <w:ilvl w:val="0"/>
          <w:numId w:val="3"/>
        </w:numPr>
        <w:spacing w:after="80"/>
      </w:pPr>
      <w:r>
        <w:rPr>
          <w:sz w:val="21"/>
          <w:szCs w:val="21"/>
        </w:rPr>
        <w:t xml:space="preserve">Monitoring — reagent and consumable stock levels are tracked via the Reagent Stock Register (ASL-POL-10); a reorder is triggered at the defined minimum stock level.</w:t>
      </w:r>
    </w:p>
    <w:p>
      <w:pPr>
        <w:pStyle w:val="ListParagraph"/>
        <w:numPr>
          <w:ilvl w:val="0"/>
          <w:numId w:val="3"/>
        </w:numPr>
        <w:spacing w:after="80"/>
      </w:pPr>
      <w:r>
        <w:rPr>
          <w:sz w:val="21"/>
          <w:szCs w:val="21"/>
        </w:rPr>
        <w:t xml:space="preserve">Escalation — any anticipated stock-out, staffing gap, or equipment downtime is escalated immediately to Dr. Munaim Tahir for emergency procurement (ASL-POL-09).</w:t>
      </w:r>
    </w:p>
    <w:p>
      <w:pPr>
        <w:pStyle w:val="ListParagraph"/>
        <w:numPr>
          <w:ilvl w:val="0"/>
          <w:numId w:val="3"/>
        </w:numPr>
        <w:spacing w:after="80"/>
      </w:pPr>
      <w:r>
        <w:rPr>
          <w:sz w:val="21"/>
          <w:szCs w:val="21"/>
        </w:rPr>
        <w:t xml:space="preserve">Emergency budget requests are approved within 48 hours to prevent any interruption to patient service.</w:t>
      </w:r>
    </w:p>
    <w:p>
      <w:pPr>
        <w:pStyle w:val="Heading1"/>
        <w:spacing w:after="140" w:before="280"/>
      </w:pPr>
      <w:r>
        <w:rPr>
          <w:b/>
          <w:bCs/>
          <w:color w:val="1F4E78"/>
          <w:sz w:val="26"/>
          <w:szCs w:val="26"/>
        </w:rPr>
        <w:t xml:space="preserve">5. Annual Budget Approval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800"/>
        <w:gridCol w:w="180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Item Category</w:t>
            </w:r>
          </w:p>
        </w:tc>
        <w:tc>
          <w:tcPr>
            <w:tcW w:type="dxa" w:w="18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Estimated Annual Cost (PKR)</w:t>
            </w:r>
          </w:p>
        </w:tc>
        <w:tc>
          <w:tcPr>
            <w:tcW w:type="dxa" w:w="12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Approved (Y/N)</w:t>
            </w:r>
          </w:p>
        </w:tc>
        <w:tc>
          <w:tcPr>
            <w:tcW w:type="dxa" w:w="18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Approved By</w:t>
            </w:r>
          </w:p>
        </w:tc>
        <w:tc>
          <w:tcPr>
            <w:tcW w:type="dxa" w:w="18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Date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
            </w:r>
          </w:p>
        </w:tc>
      </w:tr>
    </w:tbl>
    <w:p>
      <w:pPr>
        <w:spacing w:after="200"/>
      </w:pPr>
    </w:p>
    <w:p>
      <w:pPr>
        <w:pStyle w:val="Heading1"/>
        <w:spacing w:after="140" w:before="280"/>
      </w:pPr>
      <w:r>
        <w:rPr>
          <w:b/>
          <w:bCs/>
          <w:color w:val="1F4E78"/>
          <w:sz w:val="26"/>
          <w:szCs w:val="26"/>
        </w:rPr>
        <w:t xml:space="preserve">6. Assurance Against Resource-Related Delay</w:t>
      </w:r>
    </w:p>
    <w:p>
      <w:pPr>
        <w:spacing w:after="140"/>
        <w:jc w:val="both"/>
      </w:pPr>
      <w:r>
        <w:rPr>
          <w:b w:val="false"/>
          <w:bCs w:val="false"/>
          <w:i w:val="false"/>
          <w:iCs w:val="false"/>
          <w:sz w:val="21"/>
          <w:szCs w:val="21"/>
        </w:rPr>
        <w:t xml:space="preserve">No test result is delayed for lack of equipment, reagents/kits, or staff. Any near-miss or actual delay attributable to resourcing is logged and reviewed at the next budget planning cycle to prevent recurrence.</w:t>
      </w:r>
    </w:p>
    <w:p>
      <w:pPr>
        <w:pStyle w:val="Heading1"/>
        <w:spacing w:after="140" w:before="280"/>
      </w:pPr>
      <w:r>
        <w:rPr>
          <w:b/>
          <w:bCs/>
          <w:color w:val="1F4E78"/>
          <w:sz w:val="26"/>
          <w:szCs w:val="26"/>
        </w:rPr>
        <w:t xml:space="preserve">Regulatory Basis</w:t>
      </w:r>
    </w:p>
    <w:p>
      <w:pPr>
        <w:spacing w:after="140"/>
        <w:jc w:val="both"/>
      </w:pPr>
      <w:r>
        <w:rPr>
          <w:b w:val="false"/>
          <w:bCs w:val="false"/>
          <w:i w:val="false"/>
          <w:iCs w:val="false"/>
          <w:sz w:val="21"/>
          <w:szCs w:val="21"/>
        </w:rPr>
        <w:t xml:space="preserve">This document is the designated evidence for the following PHC MSDS indicator(s). Text is reproduced verbatim from the canonical indicator registry (docs/data/indicators_master.json) for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600"/>
        <w:gridCol w:w="3300"/>
        <w:gridCol w:w="3300"/>
      </w:tblGrid>
      <w:tr>
        <w:trPr>
          <w:tblHeader/>
        </w:trPr>
        <w:tc>
          <w:tcPr>
            <w:tcW w:type="dxa" w:w="7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 ID</w:t>
            </w:r>
          </w:p>
        </w:tc>
        <w:tc>
          <w:tcPr>
            <w:tcW w:type="dxa" w:w="11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Standard</w:t>
            </w:r>
          </w:p>
        </w:tc>
        <w:tc>
          <w:tcPr>
            <w:tcW w:type="dxa" w:w="6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Wt.</w:t>
            </w:r>
          </w:p>
        </w:tc>
        <w:tc>
          <w:tcPr>
            <w:tcW w:type="dxa" w:w="33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Indicator Text (verbatim from PHC MSDS manual)</w:t>
            </w:r>
          </w:p>
        </w:tc>
        <w:tc>
          <w:tcPr>
            <w:tcW w:type="dxa" w:w="33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Compliance Requirements This Document Addresses</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10</w:t>
            </w:r>
          </w:p>
        </w:tc>
        <w:tc>
          <w:tcPr>
            <w:tcW w:type="dxa" w:w="11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ROM-3</w:t>
            </w:r>
          </w:p>
        </w:tc>
        <w:tc>
          <w:tcPr>
            <w:tcW w:type="dxa" w:w="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100</w:t>
            </w:r>
          </w:p>
        </w:tc>
        <w:tc>
          <w:tcPr>
            <w:tcW w:type="dxa" w:w="3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Those responsible for management approve sufficient laboratory budget and allocate the resources required to accomplish the mission.</w:t>
            </w:r>
          </w:p>
        </w:tc>
        <w:tc>
          <w:tcPr>
            <w:tcW w:type="dxa" w:w="3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The premises of the laboratory has adequate space suitable for the required activities.  •  The staff, equipment and consumables remain available to support the scope of laboratory services.  •  No evidence of delay in reporting the test results on account of non-availability of equipment, kits/reagents or the concerned staff.</w:t>
            </w:r>
          </w:p>
        </w:tc>
      </w:tr>
    </w:tbl>
    <w:p>
      <w:pPr>
        <w:spacing w:after="300"/>
      </w:pPr>
    </w:p>
    <w:p>
      <w:pPr>
        <w:pStyle w:val="Heading1"/>
        <w:spacing w:after="140" w:before="280"/>
      </w:pPr>
      <w:r>
        <w:rPr>
          <w:b/>
          <w:bCs/>
          <w:color w:val="1F4E78"/>
          <w:sz w:val="26"/>
          <w:szCs w:val="26"/>
        </w:rPr>
        <w:t xml:space="preserve">Approval</w:t>
      </w:r>
    </w:p>
    <w:p>
      <w:pPr>
        <w:spacing w:after="140"/>
        <w:jc w:val="both"/>
      </w:pPr>
      <w:r>
        <w:rPr>
          <w:b w:val="false"/>
          <w:bCs w:val="false"/>
          <w:i w:val="false"/>
          <w:iCs w:val="false"/>
          <w:sz w:val="21"/>
          <w:szCs w:val="21"/>
        </w:rPr>
        <w:t xml:space="preserve">This document does not become filed evidence until both signatures below are obtained. Per AccrediOps governance rules, drafts are never auto-published.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200"/>
              <w:left w:type="dxa" w:w="100"/>
              <w:bottom w:type="dxa" w:w="60"/>
              <w:right w:type="dxa" w:w="100"/>
            </w:tcMar>
          </w:tcPr>
          <w:p>
            <w:pPr>
              <w:spacing w:after="400"/>
            </w:pPr>
            <w:r>
              <w:rPr>
                <w:b/>
                <w:bCs/>
                <w:sz w:val="19"/>
                <w:szCs w:val="19"/>
              </w:rPr>
              <w:t xml:space="preserve">Prepared By</w:t>
            </w:r>
          </w:p>
          <w:p>
            <w:pPr>
              <w:spacing w:after="40"/>
            </w:pPr>
            <w:r>
              <w:rPr>
                <w:sz w:val="19"/>
                <w:szCs w:val="19"/>
              </w:rPr>
              <w:t xml:space="preserve">Signature: ______________________________</w:t>
            </w:r>
          </w:p>
          <w:p>
            <w:pPr>
              <w:spacing w:after="40"/>
            </w:pPr>
            <w:r>
              <w:rPr>
                <w:sz w:val="19"/>
                <w:szCs w:val="19"/>
              </w:rPr>
              <w:t xml:space="preserve">Name: Dr. Munaim Tahir</w:t>
            </w:r>
          </w:p>
          <w:p>
            <w:pPr>
              <w:spacing w:after="40"/>
            </w:pPr>
            <w:r>
              <w:rPr>
                <w:sz w:val="19"/>
                <w:szCs w:val="19"/>
              </w:rPr>
              <w:t xml:space="preserve">Designation: Laboratory In-Charge / Administrative Head</w:t>
            </w:r>
          </w:p>
          <w:p>
            <w:r>
              <w:rPr>
                <w:sz w:val="19"/>
                <w:szCs w:val="19"/>
              </w:rPr>
              <w:t xml:space="preserve">Date: ______________________________</w:t>
            </w:r>
          </w:p>
        </w:tc>
        <w:tc>
          <w:tcPr>
            <w:tcW w:type="dxa" w:w="4500"/>
            <w:tcBorders>
              <w:top w:val="none"/>
              <w:left w:val="none"/>
              <w:bottom w:val="none"/>
              <w:right w:val="none"/>
            </w:tcBorders>
            <w:tcMar>
              <w:top w:type="dxa" w:w="200"/>
              <w:left w:type="dxa" w:w="100"/>
              <w:bottom w:type="dxa" w:w="60"/>
              <w:right w:type="dxa" w:w="100"/>
            </w:tcMar>
          </w:tcPr>
          <w:p>
            <w:pPr>
              <w:spacing w:after="400"/>
            </w:pPr>
            <w:r>
              <w:rPr>
                <w:b/>
                <w:bCs/>
                <w:sz w:val="19"/>
                <w:szCs w:val="19"/>
              </w:rPr>
              <w:t xml:space="preserve">Reviewed &amp; Approved By</w:t>
            </w:r>
          </w:p>
          <w:p>
            <w:pPr>
              <w:spacing w:after="40"/>
            </w:pPr>
            <w:r>
              <w:rPr>
                <w:sz w:val="19"/>
                <w:szCs w:val="19"/>
              </w:rPr>
              <w:t xml:space="preserve">Signature: ______________________________</w:t>
            </w:r>
          </w:p>
          <w:p>
            <w:pPr>
              <w:spacing w:after="40"/>
            </w:pPr>
            <w:r>
              <w:rPr>
                <w:sz w:val="19"/>
                <w:szCs w:val="19"/>
              </w:rPr>
              <w:t xml:space="preserve">Name: Dr. Mubashr Ahmed</w:t>
            </w:r>
          </w:p>
          <w:p>
            <w:pPr>
              <w:spacing w:after="40"/>
            </w:pPr>
            <w:r>
              <w:rPr>
                <w:sz w:val="19"/>
                <w:szCs w:val="19"/>
              </w:rPr>
              <w:t xml:space="preserve">Designation: Supervising Pathologist / Technical Head</w:t>
            </w:r>
          </w:p>
          <w:p>
            <w:r>
              <w:rPr>
                <w:sz w:val="19"/>
                <w:szCs w:val="19"/>
              </w:rPr>
              <w:t xml:space="preserve">Date: ______________________________</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C00000"/>
        <w:sz w:val="16"/>
        <w:szCs w:val="16"/>
      </w:rPr>
      <w:t xml:space="preserve">DRAFT — Pending Approval  ·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6"/>
        <w:szCs w:val="16"/>
      </w:rPr>
      <w:t xml:space="preserve">Al Shifa Laboratory — Budget Approval &amp; Resource Allocation Policy</w:t>
    </w:r>
    <w:r>
      <w:rPr>
        <w:color w:val="595959"/>
        <w:sz w:val="16"/>
        <w:szCs w:val="16"/>
      </w:rPr>
      <w:t xml:space="preserve">	ASL-POL-04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2026-08-03T21:59:50.405Z</dcterms:created>
  <dcterms:modified xsi:type="dcterms:W3CDTF">2026-08-03T21:59:50.405Z</dcterms:modified>
</cp:coreProperties>
</file>

<file path=docProps/custom.xml><?xml version="1.0" encoding="utf-8"?>
<Properties xmlns="http://schemas.openxmlformats.org/officeDocument/2006/custom-properties" xmlns:vt="http://schemas.openxmlformats.org/officeDocument/2006/docPropsVTypes"/>
</file>