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SchoolHub-SA-Business-Benefits-Guide</w:t>
      </w:r>
    </w:p>
    <w:bookmarkStart w:id="39" w:name="Xddc094fa57e1264acc0102d44378d975a658271"/>
    <w:p>
      <w:pPr>
        <w:pStyle w:val="Heading1"/>
      </w:pPr>
      <w:r>
        <w:t xml:space="preserve">SchoolHub SA — Business Benefits and Cost-Saving Guide</w:t>
      </w:r>
    </w:p>
    <w:p>
      <w:pPr>
        <w:pStyle w:val="FirstParagraph"/>
      </w:pPr>
      <w:r>
        <w:rPr>
          <w:bCs/>
          <w:b/>
        </w:rPr>
        <w:t xml:space="preserve">For principals, governing bodies, college owners, and training-centre directors</w:t>
      </w:r>
      <w:r>
        <w:br/>
      </w:r>
      <w:r>
        <w:rPr>
          <w:bCs/>
          <w:b/>
        </w:rPr>
        <w:t xml:space="preserve">Cyber Developers · SchoolHub SA</w:t>
      </w:r>
      <w:r>
        <w:br/>
      </w:r>
      <w:hyperlink r:id="rId20">
        <w:r>
          <w:rPr>
            <w:rStyle w:val="Hyperlink"/>
          </w:rPr>
          <w:t xml:space="preserve">https://www.cyberdevelopers.co.za</w:t>
        </w:r>
      </w:hyperlink>
      <w:r>
        <w:br/>
      </w:r>
      <w:r>
        <w:rPr>
          <w:bCs/>
          <w:b/>
        </w:rPr>
        <w:t xml:space="preserve">Date:</w:t>
      </w:r>
      <w:r>
        <w:t xml:space="preserve"> </w:t>
      </w:r>
      <w:r>
        <w:t xml:space="preserve">9 October 2026</w:t>
      </w:r>
    </w:p>
    <w:p>
      <w:pPr>
        <w:pStyle w:val="BodyText"/>
      </w:pPr>
      <w:r>
        <w:t xml:space="preserve">SchoolHub SA is one system for the work a school, college, or training centre already does in several places: applications, class lists, registers, marks, reports, fees, staff leave, payslips, notices, the public website, and the gate book.</w:t>
      </w:r>
    </w:p>
    <w:p>
      <w:pPr>
        <w:pStyle w:val="BodyText"/>
      </w:pPr>
      <w:r>
        <w:t xml:space="preserve">This guide explains the operational change. It does not promise a rand amount, a percentage saving, or a payback period. Those depend on the institution’s size, what it replaces, and how completely staff use the portals.</w:t>
      </w:r>
    </w:p>
    <w:p>
      <w:r>
        <w:pict>
          <v:rect style="width:0;height:1.5pt" o:hralign="center" o:hrstd="t" o:hr="t"/>
        </w:pict>
      </w:r>
    </w:p>
    <w:bookmarkStart w:id="21" w:name="Xe8693ddfb73df10d942d840b07133a2546b0c77"/>
    <w:p>
      <w:pPr>
        <w:pStyle w:val="Heading2"/>
      </w:pPr>
      <w:r>
        <w:t xml:space="preserve">1. Who it is for</w:t>
      </w:r>
    </w:p>
    <w:p>
      <w:pPr>
        <w:numPr>
          <w:ilvl w:val="0"/>
          <w:numId w:val="1001"/>
        </w:numPr>
        <w:pStyle w:val="Compact"/>
      </w:pPr>
      <w:r>
        <w:t xml:space="preserve">Independent and public schools, including primary, high, and combined schools</w:t>
      </w:r>
    </w:p>
    <w:p>
      <w:pPr>
        <w:numPr>
          <w:ilvl w:val="0"/>
          <w:numId w:val="1001"/>
        </w:numPr>
        <w:pStyle w:val="Compact"/>
      </w:pPr>
      <w:r>
        <w:t xml:space="preserve">Colleges and TVET colleges using semesters, programmes, and modules</w:t>
      </w:r>
    </w:p>
    <w:p>
      <w:pPr>
        <w:numPr>
          <w:ilvl w:val="0"/>
          <w:numId w:val="1001"/>
        </w:numPr>
        <w:pStyle w:val="Compact"/>
      </w:pPr>
      <w:r>
        <w:t xml:space="preserve">Training centres and training institutions</w:t>
      </w:r>
    </w:p>
    <w:p>
      <w:pPr>
        <w:numPr>
          <w:ilvl w:val="0"/>
          <w:numId w:val="1001"/>
        </w:numPr>
        <w:pStyle w:val="Compact"/>
      </w:pPr>
      <w:r>
        <w:t xml:space="preserve">A group that needs more than one institution, with Cyber Developers as Super Admin and each campus as its own school</w:t>
      </w:r>
    </w:p>
    <w:p>
      <w:pPr>
        <w:pStyle w:val="FirstParagraph"/>
      </w:pPr>
      <w:r>
        <w:t xml:space="preserve">The same product changes its words. A school sees learners, teachers, grades, classes, and terms. A college sees students, lecturers, years of study, groups, and semesters.</w:t>
      </w:r>
    </w:p>
    <w:p>
      <w:r>
        <w:pict>
          <v:rect style="width:0;height:1.5pt" o:hralign="center" o:hrstd="t" o:hr="t"/>
        </w:pict>
      </w:r>
    </w:p>
    <w:bookmarkEnd w:id="21"/>
    <w:bookmarkStart w:id="32" w:name="X1676ed88f16ed57af210b8a68f6cd3994b3cf61"/>
    <w:p>
      <w:pPr>
        <w:pStyle w:val="Heading2"/>
      </w:pPr>
      <w:r>
        <w:t xml:space="preserve">2. What changes in the office</w:t>
      </w:r>
    </w:p>
    <w:bookmarkStart w:id="22" w:name="applications"/>
    <w:p>
      <w:pPr>
        <w:pStyle w:val="Heading3"/>
      </w:pPr>
      <w:r>
        <w:t xml:space="preserve">Applications</w:t>
      </w:r>
    </w:p>
    <w:p>
      <w:pPr>
        <w:pStyle w:val="FirstParagraph"/>
      </w:pPr>
      <w:r>
        <w:t xml:space="preserve">Families can apply on the institution’s public page and follow the status of the file. Staff move the file through review, missing documents, a note that an interview or assessment is required, a waiting list, an offer, a deposit, and enrolment. When staff accept, the learner record and an enrolment can be created from that application if the grade or programme already exists.</w:t>
      </w:r>
    </w:p>
    <w:p>
      <w:pPr>
        <w:pStyle w:val="BodyText"/>
      </w:pPr>
      <w:r>
        <w:rPr>
          <w:bCs/>
          <w:b/>
        </w:rPr>
        <w:t xml:space="preserve">Paper this can retire:</w:t>
      </w:r>
      <w:r>
        <w:t xml:space="preserve"> </w:t>
      </w:r>
      <w:r>
        <w:t xml:space="preserve">the application booklet, the status whiteboard, and retyping the accepted child into a student spreadsheet.</w:t>
      </w:r>
    </w:p>
    <w:p>
      <w:pPr>
        <w:pStyle w:val="BodyText"/>
      </w:pPr>
      <w:r>
        <w:rPr>
          <w:bCs/>
          <w:b/>
        </w:rPr>
        <w:t xml:space="preserve">What remains manual:</w:t>
      </w:r>
      <w:r>
        <w:t xml:space="preserve"> </w:t>
      </w:r>
      <w:r>
        <w:t xml:space="preserve">the decision, the interview itself, and checking that the programme name matches the academic setup. The product does not accept applicants on its own.</w:t>
      </w:r>
    </w:p>
    <w:bookmarkEnd w:id="22"/>
    <w:bookmarkStart w:id="23" w:name="learner-information"/>
    <w:p>
      <w:pPr>
        <w:pStyle w:val="Heading3"/>
      </w:pPr>
      <w:r>
        <w:t xml:space="preserve">Learner information</w:t>
      </w:r>
    </w:p>
    <w:p>
      <w:pPr>
        <w:pStyle w:val="FirstParagraph"/>
      </w:pPr>
      <w:r>
        <w:t xml:space="preserve">Identity, guardians, class, documents, and status sit on one record. Sensitive identity data is protected in the fields built for that purpose, and only designated roles see the sensitive EMIS-related values.</w:t>
      </w:r>
    </w:p>
    <w:p>
      <w:pPr>
        <w:pStyle w:val="BodyText"/>
      </w:pPr>
      <w:r>
        <w:rPr>
          <w:bCs/>
          <w:b/>
        </w:rPr>
        <w:t xml:space="preserve">Paper this can retire:</w:t>
      </w:r>
      <w:r>
        <w:t xml:space="preserve"> </w:t>
      </w:r>
      <w:r>
        <w:t xml:space="preserve">the card-index folder and a second admissions spreadsheet.</w:t>
      </w:r>
    </w:p>
    <w:p>
      <w:pPr>
        <w:pStyle w:val="BodyText"/>
      </w:pPr>
      <w:r>
        <w:rPr>
          <w:bCs/>
          <w:b/>
        </w:rPr>
        <w:t xml:space="preserve">What remains manual:</w:t>
      </w:r>
      <w:r>
        <w:t xml:space="preserve"> </w:t>
      </w:r>
      <w:r>
        <w:t xml:space="preserve">linking a parent login, issuing a card, and placing the learner in the right class when the application match is only the grade.</w:t>
      </w:r>
    </w:p>
    <w:bookmarkEnd w:id="23"/>
    <w:bookmarkStart w:id="24" w:name="attendance"/>
    <w:p>
      <w:pPr>
        <w:pStyle w:val="Heading3"/>
      </w:pPr>
      <w:r>
        <w:t xml:space="preserve">Attendance</w:t>
      </w:r>
    </w:p>
    <w:p>
      <w:pPr>
        <w:pStyle w:val="FirstParagraph"/>
      </w:pPr>
      <w:r>
        <w:t xml:space="preserve">Educators mark the register once. Parents and learners can read it. A gate arrival can fill the daily present or late mark. Lesson-by-lesson registers stay with the educator.</w:t>
      </w:r>
    </w:p>
    <w:p>
      <w:pPr>
        <w:pStyle w:val="BodyText"/>
      </w:pPr>
      <w:r>
        <w:rPr>
          <w:bCs/>
          <w:b/>
        </w:rPr>
        <w:t xml:space="preserve">Paper this can retire:</w:t>
      </w:r>
      <w:r>
        <w:t xml:space="preserve"> </w:t>
      </w:r>
      <w:r>
        <w:t xml:space="preserve">the daily paper register and the Friday retype into a spreadsheet, for the sessions staff actually mark in the system.</w:t>
      </w:r>
    </w:p>
    <w:p>
      <w:pPr>
        <w:pStyle w:val="BodyText"/>
      </w:pPr>
      <w:r>
        <w:rPr>
          <w:bCs/>
          <w:b/>
        </w:rPr>
        <w:t xml:space="preserve">What remains manual:</w:t>
      </w:r>
      <w:r>
        <w:t xml:space="preserve"> </w:t>
      </w:r>
      <w:r>
        <w:t xml:space="preserve">period attendance, and any absence follow-up the school still wants a person to make. The gate does not phone a parent.</w:t>
      </w:r>
    </w:p>
    <w:bookmarkEnd w:id="24"/>
    <w:bookmarkStart w:id="25" w:name="academic-reports"/>
    <w:p>
      <w:pPr>
        <w:pStyle w:val="Heading3"/>
      </w:pPr>
      <w:r>
        <w:t xml:space="preserve">Academic reports</w:t>
      </w:r>
    </w:p>
    <w:p>
      <w:pPr>
        <w:pStyle w:val="FirstParagraph"/>
      </w:pPr>
      <w:r>
        <w:t xml:space="preserve">Marks captured on assessments feed a report card when staff issue it. The PDF is stored. Families can download it. Promotion rules can show who meets a mark or attendance threshold. Staff confirm promotion, repeat, or completion.</w:t>
      </w:r>
    </w:p>
    <w:p>
      <w:pPr>
        <w:pStyle w:val="BodyText"/>
      </w:pPr>
      <w:r>
        <w:rPr>
          <w:bCs/>
          <w:b/>
        </w:rPr>
        <w:t xml:space="preserve">Paper this can retire:</w:t>
      </w:r>
      <w:r>
        <w:t xml:space="preserve"> </w:t>
      </w:r>
      <w:r>
        <w:t xml:space="preserve">retyping marks into a report template and photocopying a full run for every family who will use the portal.</w:t>
      </w:r>
    </w:p>
    <w:p>
      <w:pPr>
        <w:pStyle w:val="BodyText"/>
      </w:pPr>
      <w:r>
        <w:rPr>
          <w:bCs/>
          <w:b/>
        </w:rPr>
        <w:t xml:space="preserve">What remains manual:</w:t>
      </w:r>
      <w:r>
        <w:t xml:space="preserve"> </w:t>
      </w:r>
      <w:r>
        <w:t xml:space="preserve">issuing the report, moderation, and the promotion decision. Saving a mark does not publish a report by itself.</w:t>
      </w:r>
    </w:p>
    <w:bookmarkEnd w:id="25"/>
    <w:bookmarkStart w:id="26" w:name="fees"/>
    <w:p>
      <w:pPr>
        <w:pStyle w:val="Heading3"/>
      </w:pPr>
      <w:r>
        <w:t xml:space="preserve">Fees</w:t>
      </w:r>
    </w:p>
    <w:p>
      <w:pPr>
        <w:pStyle w:val="FirstParagraph"/>
      </w:pPr>
      <w:r>
        <w:t xml:space="preserve">The bursar works from invoices, a collection desk, receipts, a learner statement, debtors, and an age analysis. Families can open their own invoices. Where a payment gateway is configured, a completed online payment posts onto the same invoice.</w:t>
      </w:r>
    </w:p>
    <w:p>
      <w:pPr>
        <w:pStyle w:val="BodyText"/>
      </w:pPr>
      <w:r>
        <w:rPr>
          <w:bCs/>
          <w:b/>
        </w:rPr>
        <w:t xml:space="preserve">Paper this can retire:</w:t>
      </w:r>
      <w:r>
        <w:t xml:space="preserve"> </w:t>
      </w:r>
      <w:r>
        <w:t xml:space="preserve">a duplicate cashbook for ordinary collections, and a queue of parents asking for a balance that is already on the portal.</w:t>
      </w:r>
    </w:p>
    <w:p>
      <w:pPr>
        <w:pStyle w:val="BodyText"/>
      </w:pPr>
      <w:r>
        <w:rPr>
          <w:bCs/>
          <w:b/>
        </w:rPr>
        <w:t xml:space="preserve">What you should not rely on yet:</w:t>
      </w:r>
      <w:r>
        <w:t xml:space="preserve"> </w:t>
      </w:r>
      <w:r>
        <w:t xml:space="preserve">payment reversal, and receipt numbering after a reversal or a numbering collision. Those defects are documented for a separate repair. Fee reminder messages are not sent overnight. Someone sends them, or the institution waits until that job is deliberately switched on. Recurring expenses are also not created by the clock.</w:t>
      </w:r>
    </w:p>
    <w:bookmarkEnd w:id="26"/>
    <w:bookmarkStart w:id="27" w:name="people-and-pay"/>
    <w:p>
      <w:pPr>
        <w:pStyle w:val="Heading3"/>
      </w:pPr>
      <w:r>
        <w:t xml:space="preserve">People and pay</w:t>
      </w:r>
    </w:p>
    <w:p>
      <w:pPr>
        <w:pStyle w:val="FirstParagraph"/>
      </w:pPr>
      <w:r>
        <w:t xml:space="preserve">Employees, leave, timesheets, and payroll live with HR. An employee sees their own payslip. Payroll is prepared, approved, and finalised as separate steps so one person does not silently complete a run.</w:t>
      </w:r>
    </w:p>
    <w:p>
      <w:pPr>
        <w:pStyle w:val="BodyText"/>
      </w:pPr>
      <w:r>
        <w:rPr>
          <w:bCs/>
          <w:b/>
        </w:rPr>
        <w:t xml:space="preserve">Paper this can retire:</w:t>
      </w:r>
      <w:r>
        <w:t xml:space="preserve"> </w:t>
      </w:r>
      <w:r>
        <w:t xml:space="preserve">a leave file and a hand-built payslip document, once salary structures are maintained.</w:t>
      </w:r>
    </w:p>
    <w:p>
      <w:pPr>
        <w:pStyle w:val="BodyText"/>
      </w:pPr>
      <w:r>
        <w:rPr>
          <w:bCs/>
          <w:b/>
        </w:rPr>
        <w:t xml:space="preserve">What remains manual:</w:t>
      </w:r>
      <w:r>
        <w:t xml:space="preserve"> </w:t>
      </w:r>
      <w:r>
        <w:t xml:space="preserve">building the payroll run. The gate can record arrival time. It does not calculate salaries. Leave balances are not accrued by the monthly job until that job is reviewed.</w:t>
      </w:r>
    </w:p>
    <w:bookmarkEnd w:id="27"/>
    <w:bookmarkStart w:id="28" w:name="communication"/>
    <w:p>
      <w:pPr>
        <w:pStyle w:val="Heading3"/>
      </w:pPr>
      <w:r>
        <w:t xml:space="preserve">Communication</w:t>
      </w:r>
    </w:p>
    <w:p>
      <w:pPr>
        <w:pStyle w:val="FirstParagraph"/>
      </w:pPr>
      <w:r>
        <w:t xml:space="preserve">Announcements, internal messages, and portal notifications reach people who have accounts. Email uses Cyber Developers’ platform mail or the school’s own SendGrid account. SMS is available when the licence and a Twilio account are in place.</w:t>
      </w:r>
    </w:p>
    <w:p>
      <w:pPr>
        <w:pStyle w:val="BodyText"/>
      </w:pPr>
      <w:r>
        <w:rPr>
          <w:bCs/>
          <w:b/>
        </w:rPr>
        <w:t xml:space="preserve">Delay this can shorten:</w:t>
      </w:r>
      <w:r>
        <w:t xml:space="preserve"> </w:t>
      </w:r>
      <w:r>
        <w:t xml:space="preserve">a notice that otherwise waits for a child to carry paper home.</w:t>
      </w:r>
    </w:p>
    <w:p>
      <w:pPr>
        <w:pStyle w:val="BodyText"/>
      </w:pPr>
      <w:r>
        <w:rPr>
          <w:bCs/>
          <w:b/>
        </w:rPr>
        <w:t xml:space="preserve">What it does not do:</w:t>
      </w:r>
      <w:r>
        <w:t xml:space="preserve"> </w:t>
      </w:r>
      <w:r>
        <w:t xml:space="preserve">WhatsApp conversations, or a guarantee that “sent to the email provider” means the person opened the message. Delivery events are not connected yet.</w:t>
      </w:r>
    </w:p>
    <w:bookmarkEnd w:id="28"/>
    <w:bookmarkStart w:id="29" w:name="public-website"/>
    <w:p>
      <w:pPr>
        <w:pStyle w:val="Heading3"/>
      </w:pPr>
      <w:r>
        <w:t xml:space="preserve">Public website</w:t>
      </w:r>
    </w:p>
    <w:p>
      <w:pPr>
        <w:pStyle w:val="FirstParagraph"/>
      </w:pPr>
      <w:r>
        <w:t xml:space="preserve">The institution can publish programmes, fees, news, and an admissions button that opens the real application form.</w:t>
      </w:r>
    </w:p>
    <w:p>
      <w:pPr>
        <w:pStyle w:val="BodyText"/>
      </w:pPr>
      <w:r>
        <w:rPr>
          <w:bCs/>
          <w:b/>
        </w:rPr>
        <w:t xml:space="preserve">What this replaces:</w:t>
      </w:r>
      <w:r>
        <w:t xml:space="preserve"> </w:t>
      </w:r>
      <w:r>
        <w:t xml:space="preserve">a brochure site that has to be updated in a different product whenever a programme or fee changes, if the school chooses to maintain that content here.</w:t>
      </w:r>
    </w:p>
    <w:bookmarkEnd w:id="29"/>
    <w:bookmarkStart w:id="30" w:name="campus-gate"/>
    <w:p>
      <w:pPr>
        <w:pStyle w:val="Heading3"/>
      </w:pPr>
      <w:r>
        <w:t xml:space="preserve">Campus gate</w:t>
      </w:r>
    </w:p>
    <w:p>
      <w:pPr>
        <w:pStyle w:val="FirstParagraph"/>
      </w:pPr>
      <w:r>
        <w:t xml:space="preserve">Security sees who is on site, who has not checked out, and who was expected. Cards are issued by the office, not by the guard. Biometric capture is turned away. Fingerprint and face terminals are not part of the current product.</w:t>
      </w:r>
    </w:p>
    <w:bookmarkEnd w:id="30"/>
    <w:bookmarkStart w:id="31" w:name="one-login-several-former-subscriptions"/>
    <w:p>
      <w:pPr>
        <w:pStyle w:val="Heading3"/>
      </w:pPr>
      <w:r>
        <w:t xml:space="preserve">One login, several former subscriptions</w:t>
      </w:r>
    </w:p>
    <w:p>
      <w:pPr>
        <w:pStyle w:val="FirstParagraph"/>
      </w:pPr>
      <w:r>
        <w:t xml:space="preserve">An institution that currently pays separately for a website form, a register tool, a fee spreadsheet, a payslip template, and a visitor book can put those jobs in SchoolHub SA. Whether that reduces the subscription bill depends on which contracts the institution can end. This guide does not name a saving.</w:t>
      </w:r>
    </w:p>
    <w:p>
      <w:pPr>
        <w:pStyle w:val="BodyText"/>
      </w:pPr>
      <w:r>
        <w:t xml:space="preserve">Library, artificial intelligence, a public developer API, advanced analytics, and biometric clocks are licence labels that are off. They are not reasons to cancel another product.</w:t>
      </w:r>
    </w:p>
    <w:p>
      <w:r>
        <w:pict>
          <v:rect style="width:0;height:1.5pt" o:hralign="center" o:hrstd="t" o:hr="t"/>
        </w:pict>
      </w:r>
    </w:p>
    <w:bookmarkEnd w:id="31"/>
    <w:bookmarkEnd w:id="32"/>
    <w:bookmarkStart w:id="33" w:name="X5d043b5094040244e89ddd0b97555caf925f61c"/>
    <w:p>
      <w:pPr>
        <w:pStyle w:val="Heading2"/>
      </w:pPr>
      <w:r>
        <w:t xml:space="preserve">3. Management information</w:t>
      </w:r>
    </w:p>
    <w:p>
      <w:pPr>
        <w:pStyle w:val="FirstParagraph"/>
      </w:pPr>
      <w:r>
        <w:t xml:space="preserve">Because applications, registers, marks, invoices, and the gate write into one institution, a principal can open:</w:t>
      </w:r>
    </w:p>
    <w:p>
      <w:pPr>
        <w:numPr>
          <w:ilvl w:val="0"/>
          <w:numId w:val="1002"/>
        </w:numPr>
        <w:pStyle w:val="Compact"/>
      </w:pPr>
      <w:r>
        <w:t xml:space="preserve">the admin dashboard for the morning picture</w:t>
      </w:r>
    </w:p>
    <w:p>
      <w:pPr>
        <w:numPr>
          <w:ilvl w:val="0"/>
          <w:numId w:val="1002"/>
        </w:numPr>
        <w:pStyle w:val="Compact"/>
      </w:pPr>
      <w:r>
        <w:t xml:space="preserve">attendance for who is missing</w:t>
      </w:r>
    </w:p>
    <w:p>
      <w:pPr>
        <w:numPr>
          <w:ilvl w:val="0"/>
          <w:numId w:val="1002"/>
        </w:numPr>
        <w:pStyle w:val="Compact"/>
      </w:pPr>
      <w:r>
        <w:t xml:space="preserve">debtors and age analysis for who owes fees</w:t>
      </w:r>
    </w:p>
    <w:p>
      <w:pPr>
        <w:numPr>
          <w:ilvl w:val="0"/>
          <w:numId w:val="1002"/>
        </w:numPr>
        <w:pStyle w:val="Compact"/>
      </w:pPr>
      <w:r>
        <w:t xml:space="preserve">promotion eligibility before a progression meeting</w:t>
      </w:r>
    </w:p>
    <w:p>
      <w:pPr>
        <w:numPr>
          <w:ilvl w:val="0"/>
          <w:numId w:val="1002"/>
        </w:numPr>
        <w:pStyle w:val="Compact"/>
      </w:pPr>
      <w:r>
        <w:t xml:space="preserve">the audit log for who changed a sensitive record</w:t>
      </w:r>
    </w:p>
    <w:p>
      <w:pPr>
        <w:numPr>
          <w:ilvl w:val="0"/>
          <w:numId w:val="1002"/>
        </w:numPr>
        <w:pStyle w:val="Compact"/>
      </w:pPr>
      <w:r>
        <w:t xml:space="preserve">system health, for Cyber Developers, to see whether the licence check is current</w:t>
      </w:r>
    </w:p>
    <w:p>
      <w:pPr>
        <w:pStyle w:val="FirstParagraph"/>
      </w:pPr>
      <w:r>
        <w:t xml:space="preserve">That is a decision-making benefit only when staff capture the work in SchoolHub SA. A register kept on paper and typed later is still a second capture.</w:t>
      </w:r>
    </w:p>
    <w:p>
      <w:pPr>
        <w:pStyle w:val="BodyText"/>
      </w:pPr>
      <w:r>
        <w:t xml:space="preserve">Financial accountability improves when each receipt has a number, a method, and a learner invoice, and when pending EFTs are verified before they hit the balance. The known reversal defect means the governing body should not treat reversal as a controlled audit trail until the repair is released. Until then, corrections should be handled with the finance officer and Cyber Developers, not by repeated clicks.</w:t>
      </w:r>
    </w:p>
    <w:p>
      <w:r>
        <w:pict>
          <v:rect style="width:0;height:1.5pt" o:hralign="center" o:hrstd="t" o:hr="t"/>
        </w:pict>
      </w:r>
    </w:p>
    <w:bookmarkEnd w:id="33"/>
    <w:bookmarkStart w:id="34" w:name="X74352df199f7ee01c25be0e289bbf3d5cf44dd3"/>
    <w:p>
      <w:pPr>
        <w:pStyle w:val="Heading2"/>
      </w:pPr>
      <w:r>
        <w:t xml:space="preserve">4. Time and administration</w:t>
      </w:r>
    </w:p>
    <w:p>
      <w:pPr>
        <w:pStyle w:val="FirstParagraph"/>
      </w:pPr>
      <w:r>
        <w:t xml:space="preserve">These are the kinds of effort the product is built to reduce. They are not measured savings.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Former effort</w:t>
            </w:r>
          </w:p>
        </w:tc>
        <w:tc>
          <w:tcPr/>
          <w:p>
            <w:pPr>
              <w:pStyle w:val="Compact"/>
              <w:jc w:val="left"/>
            </w:pPr>
            <w:r>
              <w:t xml:space="preserve">How SchoolHub SA changes it</w:t>
            </w:r>
          </w:p>
        </w:tc>
      </w:tr>
      <w:tr>
        <w:tc>
          <w:tcPr/>
          <w:p>
            <w:pPr>
              <w:pStyle w:val="Compact"/>
              <w:jc w:val="left"/>
            </w:pPr>
            <w:r>
              <w:t xml:space="preserve">Paper application forms</w:t>
            </w:r>
          </w:p>
        </w:tc>
        <w:tc>
          <w:tcPr/>
          <w:p>
            <w:pPr>
              <w:pStyle w:val="Compact"/>
              <w:jc w:val="left"/>
            </w:pPr>
            <w:r>
              <w:t xml:space="preserve">Online form and a status tracker</w:t>
            </w:r>
          </w:p>
        </w:tc>
      </w:tr>
      <w:tr>
        <w:tc>
          <w:tcPr/>
          <w:p>
            <w:pPr>
              <w:pStyle w:val="Compact"/>
              <w:jc w:val="left"/>
            </w:pPr>
            <w:r>
              <w:t xml:space="preserve">Physical document storage for everyday notices and reports</w:t>
            </w:r>
          </w:p>
        </w:tc>
        <w:tc>
          <w:tcPr/>
          <w:p>
            <w:pPr>
              <w:pStyle w:val="Compact"/>
              <w:jc w:val="left"/>
            </w:pPr>
            <w:r>
              <w:t xml:space="preserve">Portal documents and on-demand PDFs. Original legal documents may still need a file</w:t>
            </w:r>
          </w:p>
        </w:tc>
      </w:tr>
      <w:tr>
        <w:tc>
          <w:tcPr/>
          <w:p>
            <w:pPr>
              <w:pStyle w:val="Compact"/>
              <w:jc w:val="left"/>
            </w:pPr>
            <w:r>
              <w:t xml:space="preserve">Manual attendance registers</w:t>
            </w:r>
          </w:p>
        </w:tc>
        <w:tc>
          <w:tcPr/>
          <w:p>
            <w:pPr>
              <w:pStyle w:val="Compact"/>
              <w:jc w:val="left"/>
            </w:pPr>
            <w:r>
              <w:t xml:space="preserve">Educator register, parent view, optional daily mark from the gate</w:t>
            </w:r>
          </w:p>
        </w:tc>
      </w:tr>
      <w:tr>
        <w:tc>
          <w:tcPr/>
          <w:p>
            <w:pPr>
              <w:pStyle w:val="Compact"/>
              <w:jc w:val="left"/>
            </w:pPr>
            <w:r>
              <w:t xml:space="preserve">Retyping the same learner into admissions, class lists, and fees</w:t>
            </w:r>
          </w:p>
        </w:tc>
        <w:tc>
          <w:tcPr/>
          <w:p>
            <w:pPr>
              <w:pStyle w:val="Compact"/>
              <w:jc w:val="left"/>
            </w:pPr>
            <w:r>
              <w:t xml:space="preserve">Acceptance can create the learner and the enrolment. Fees and class placement still need the right setup</w:t>
            </w:r>
          </w:p>
        </w:tc>
      </w:tr>
      <w:tr>
        <w:tc>
          <w:tcPr/>
          <w:p>
            <w:pPr>
              <w:pStyle w:val="Compact"/>
              <w:jc w:val="left"/>
            </w:pPr>
            <w:r>
              <w:t xml:space="preserve">Building reports by hand</w:t>
            </w:r>
          </w:p>
        </w:tc>
        <w:tc>
          <w:tcPr/>
          <w:p>
            <w:pPr>
              <w:pStyle w:val="Compact"/>
              <w:jc w:val="left"/>
            </w:pPr>
            <w:r>
              <w:t xml:space="preserve">Report PDF from marks already captured, when staff issue it</w:t>
            </w:r>
          </w:p>
        </w:tc>
      </w:tr>
      <w:tr>
        <w:tc>
          <w:tcPr/>
          <w:p>
            <w:pPr>
              <w:pStyle w:val="Compact"/>
              <w:jc w:val="left"/>
            </w:pPr>
            <w:r>
              <w:t xml:space="preserve">A fee book disconnected from receipts</w:t>
            </w:r>
          </w:p>
        </w:tc>
        <w:tc>
          <w:tcPr/>
          <w:p>
            <w:pPr>
              <w:pStyle w:val="Compact"/>
              <w:jc w:val="left"/>
            </w:pPr>
            <w:r>
              <w:t xml:space="preserve">Invoice, receipt, ledger, and statement on the same learner</w:t>
            </w:r>
          </w:p>
        </w:tc>
      </w:tr>
      <w:tr>
        <w:tc>
          <w:tcPr/>
          <w:p>
            <w:pPr>
              <w:pStyle w:val="Compact"/>
              <w:jc w:val="left"/>
            </w:pPr>
            <w:r>
              <w:t xml:space="preserve">Printing a full report run “just in case”</w:t>
            </w:r>
          </w:p>
        </w:tc>
        <w:tc>
          <w:tcPr/>
          <w:p>
            <w:pPr>
              <w:pStyle w:val="Compact"/>
              <w:jc w:val="left"/>
            </w:pPr>
            <w:r>
              <w:t xml:space="preserve">Families download the issued report. Print when someone asks</w:t>
            </w:r>
          </w:p>
        </w:tc>
      </w:tr>
      <w:tr>
        <w:tc>
          <w:tcPr/>
          <w:p>
            <w:pPr>
              <w:pStyle w:val="Compact"/>
              <w:jc w:val="left"/>
            </w:pPr>
            <w:r>
              <w:t xml:space="preserve">Notices that wait for assembly</w:t>
            </w:r>
          </w:p>
        </w:tc>
        <w:tc>
          <w:tcPr/>
          <w:p>
            <w:pPr>
              <w:pStyle w:val="Compact"/>
              <w:jc w:val="left"/>
            </w:pPr>
            <w:r>
              <w:t xml:space="preserve">Announcement to the selected audience</w:t>
            </w:r>
          </w:p>
        </w:tc>
      </w:tr>
      <w:tr>
        <w:tc>
          <w:tcPr/>
          <w:p>
            <w:pPr>
              <w:pStyle w:val="Compact"/>
              <w:jc w:val="left"/>
            </w:pPr>
            <w:r>
              <w:t xml:space="preserve">Several people sharing one office password</w:t>
            </w:r>
          </w:p>
        </w:tc>
        <w:tc>
          <w:tcPr/>
          <w:p>
            <w:pPr>
              <w:pStyle w:val="Compact"/>
              <w:jc w:val="left"/>
            </w:pPr>
            <w:r>
              <w:t xml:space="preserve">A role per person, with optional extra grants or denies</w:t>
            </w:r>
          </w:p>
        </w:tc>
      </w:tr>
    </w:tbl>
    <w:p>
      <w:r>
        <w:pict>
          <v:rect style="width:0;height:1.5pt" o:hralign="center" o:hrstd="t" o:hr="t"/>
        </w:pict>
      </w:r>
    </w:p>
    <w:bookmarkEnd w:id="34"/>
    <w:bookmarkStart w:id="35" w:name="X7137f01f0974c09c1765954dc37736d4f2104a1"/>
    <w:p>
      <w:pPr>
        <w:pStyle w:val="Heading2"/>
      </w:pPr>
      <w:r>
        <w:t xml:space="preserve">5. What a governing body should ask before adopting</w:t>
      </w:r>
    </w:p>
    <w:p>
      <w:pPr>
        <w:numPr>
          <w:ilvl w:val="0"/>
          <w:numId w:val="1003"/>
        </w:numPr>
        <w:pStyle w:val="Compact"/>
      </w:pPr>
      <w:r>
        <w:t xml:space="preserve">Which current tools will actually be switched off, and which contracts remain?</w:t>
      </w:r>
    </w:p>
    <w:p>
      <w:pPr>
        <w:numPr>
          <w:ilvl w:val="0"/>
          <w:numId w:val="1003"/>
        </w:numPr>
        <w:pStyle w:val="Compact"/>
      </w:pPr>
      <w:r>
        <w:t xml:space="preserve">Who will keep the academic session, classes, and fee structures up to date? The product does not invent them.</w:t>
      </w:r>
    </w:p>
    <w:p>
      <w:pPr>
        <w:numPr>
          <w:ilvl w:val="0"/>
          <w:numId w:val="1003"/>
        </w:numPr>
        <w:pStyle w:val="Compact"/>
      </w:pPr>
      <w:r>
        <w:t xml:space="preserve">Is email (and SMS, if wanted) ready? Invitations do not arrive without it.</w:t>
      </w:r>
    </w:p>
    <w:p>
      <w:pPr>
        <w:numPr>
          <w:ilvl w:val="0"/>
          <w:numId w:val="1003"/>
        </w:numPr>
        <w:pStyle w:val="Compact"/>
      </w:pPr>
      <w:r>
        <w:t xml:space="preserve">Will families use the parent or sponsor portal? Paper reduction follows use, not installation.</w:t>
      </w:r>
    </w:p>
    <w:p>
      <w:pPr>
        <w:numPr>
          <w:ilvl w:val="0"/>
          <w:numId w:val="1003"/>
        </w:numPr>
        <w:pStyle w:val="Compact"/>
      </w:pPr>
      <w:r>
        <w:t xml:space="preserve">Is the fee office willing to wait for the reversal repair before relying on reversals?</w:t>
      </w:r>
    </w:p>
    <w:p>
      <w:pPr>
        <w:numPr>
          <w:ilvl w:val="0"/>
          <w:numId w:val="1003"/>
        </w:numPr>
        <w:pStyle w:val="Compact"/>
      </w:pPr>
      <w:r>
        <w:t xml:space="preserve">Are unattended backups required on day one? They are not running automatically. Someone must take a backup, or Cyber Developers must later enable that job after review.</w:t>
      </w:r>
    </w:p>
    <w:p>
      <w:pPr>
        <w:numPr>
          <w:ilvl w:val="0"/>
          <w:numId w:val="1003"/>
        </w:numPr>
        <w:pStyle w:val="Compact"/>
      </w:pPr>
      <w:r>
        <w:t xml:space="preserve">Does the campus need biometrics? If yes, SchoolHub SA does not meet that requirement today.</w:t>
      </w:r>
    </w:p>
    <w:p>
      <w:pPr>
        <w:numPr>
          <w:ilvl w:val="0"/>
          <w:numId w:val="1003"/>
        </w:numPr>
        <w:pStyle w:val="Compact"/>
      </w:pPr>
      <w:r>
        <w:t xml:space="preserve">Who is the security user, and has that person completed first login and a password change? A menu is not the same as a tested gate desk.</w:t>
      </w:r>
    </w:p>
    <w:p>
      <w:r>
        <w:pict>
          <v:rect style="width:0;height:1.5pt" o:hralign="center" o:hrstd="t" o:hr="t"/>
        </w:pict>
      </w:r>
    </w:p>
    <w:bookmarkEnd w:id="35"/>
    <w:bookmarkStart w:id="37" w:name="X8da002e2ee4accbfa9aaca83140aa5b4b2ed28a"/>
    <w:p>
      <w:pPr>
        <w:pStyle w:val="Heading2"/>
      </w:pPr>
      <w:r>
        <w:t xml:space="preserve">6. Suggested way to adopt</w:t>
      </w:r>
    </w:p>
    <w:p>
      <w:pPr>
        <w:pStyle w:val="FirstParagraph"/>
      </w:pPr>
      <w:r>
        <w:t xml:space="preserve">Start with records, admissions, and the family portal. Add the fee desk when structures and a gateway or a collection procedure are agreed. Add HR and payroll when employee and salary data are clean. Add the gate when cards and a simple scan procedure are agreed. Leave biometric claims, automatic fee SMS, and automatic backups out of the launch promise.</w:t>
      </w:r>
    </w:p>
    <w:p>
      <w:pPr>
        <w:pStyle w:val="BodyText"/>
      </w:pPr>
      <w:r>
        <w:t xml:space="preserve">A practical setup, training, and go-live list is in</w:t>
      </w:r>
      <w:r>
        <w:t xml:space="preserve"> </w:t>
      </w:r>
      <w:hyperlink r:id="rId36">
        <w:r>
          <w:rPr>
            <w:rStyle w:val="Hyperlink"/>
          </w:rPr>
          <w:t xml:space="preserve">04-implementation-and-training.md</w:t>
        </w:r>
      </w:hyperlink>
      <w:r>
        <w:t xml:space="preserve">.</w:t>
      </w:r>
    </w:p>
    <w:p>
      <w:r>
        <w:pict>
          <v:rect style="width:0;height:1.5pt" o:hralign="center" o:hrstd="t" o:hr="t"/>
        </w:pict>
      </w:r>
    </w:p>
    <w:bookmarkEnd w:id="37"/>
    <w:bookmarkStart w:id="38" w:name="X0bd66f7521efc832140e8d68c8a0a3e48798554"/>
    <w:p>
      <w:pPr>
        <w:pStyle w:val="Heading2"/>
      </w:pPr>
      <w:r>
        <w:t xml:space="preserve">7. Contact</w:t>
      </w:r>
    </w:p>
    <w:p>
      <w:pPr>
        <w:pStyle w:val="FirstParagraph"/>
      </w:pPr>
      <w:r>
        <w:t xml:space="preserve">Cyber Developers</w:t>
      </w:r>
      <w:r>
        <w:br/>
      </w:r>
      <w:r>
        <w:t xml:space="preserve">SchoolHub SA</w:t>
      </w:r>
      <w:r>
        <w:br/>
      </w:r>
      <w:hyperlink r:id="rId20">
        <w:r>
          <w:rPr>
            <w:rStyle w:val="Hyperlink"/>
          </w:rPr>
          <w:t xml:space="preserve">https://www.cyberdevelopers.co.za</w:t>
        </w:r>
      </w:hyperlink>
    </w:p>
    <w:p>
      <w:pPr>
        <w:pStyle w:val="BodyText"/>
      </w:pPr>
      <w:r>
        <w:t xml:space="preserve">Use the contact details on your proposal for email and telephone. This guide intentionally does not print a phone number that is not in the product.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04-implementation-and-training.md" TargetMode="External" /><Relationship Type="http://schemas.openxmlformats.org/officeDocument/2006/relationships/hyperlink" Id="rId20" Target="https://www.cyberdevelopers.co.za" TargetMode="External" /></Relationships>
</file>

<file path=word/_rels/footnotes.xml.rels><?xml version="1.0" encoding="UTF-8"?><Relationships xmlns="http://schemas.openxmlformats.org/package/2006/relationships"><Relationship Type="http://schemas.openxmlformats.org/officeDocument/2006/relationships/hyperlink" Id="rId36" Target="./04-implementation-and-training.md" TargetMode="External" /><Relationship Type="http://schemas.openxmlformats.org/officeDocument/2006/relationships/hyperlink" Id="rId20" Target="https://www.cyberdevelopers.co.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SchoolHub-SA-Business-Benefits-Guide</dc:title>
  <dc:creator/>
  <cp:keywords/>
  <dcterms:created xsi:type="dcterms:W3CDTF">2026-10-09T22:02:46Z</dcterms:created>
  <dcterms:modified xsi:type="dcterms:W3CDTF">2026-10-09T22:02:46Z</dcterms:modified>
</cp:coreProperties>
</file>

<file path=docProps/custom.xml><?xml version="1.0" encoding="utf-8"?>
<Properties xmlns="http://schemas.openxmlformats.org/officeDocument/2006/custom-properties" xmlns:vt="http://schemas.openxmlformats.org/officeDocument/2006/docPropsVTypes"/>
</file>