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C76" w:rsidRPr="00C67C76" w:rsidRDefault="00C67C76" w:rsidP="00C67C7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NAME: </w:t>
      </w:r>
      <w:r w:rsidRPr="00155208">
        <w:rPr>
          <w:rFonts w:ascii="Times New Roman" w:hAnsi="Times New Roman" w:cs="Times New Roman"/>
          <w:b/>
          <w:sz w:val="24"/>
        </w:rPr>
        <w:t xml:space="preserve">MUNAZA MUNIR </w:t>
      </w:r>
      <w:r w:rsidRPr="00155208"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t xml:space="preserve">CONTACT NO: </w:t>
      </w:r>
      <w:r w:rsidRPr="00155208">
        <w:rPr>
          <w:rFonts w:ascii="Times New Roman" w:hAnsi="Times New Roman" w:cs="Times New Roman"/>
          <w:b/>
          <w:sz w:val="24"/>
        </w:rPr>
        <w:t>03220147287</w:t>
      </w:r>
      <w:r w:rsidRPr="00155208"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t xml:space="preserve">EMAIL: </w:t>
      </w:r>
      <w:hyperlink r:id="rId4" w:history="1">
        <w:r w:rsidRPr="00155208">
          <w:rPr>
            <w:rStyle w:val="Hyperlink"/>
            <w:sz w:val="24"/>
          </w:rPr>
          <w:t>70146760@student.uol.edu.pk</w:t>
        </w:r>
      </w:hyperlink>
    </w:p>
    <w:p w:rsidR="00200622" w:rsidRPr="00200622" w:rsidRDefault="00200622" w:rsidP="00C67C7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bookmarkStart w:id="0" w:name="_GoBack"/>
      <w:r w:rsidRPr="00200622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Comparison </w:t>
      </w:r>
      <w:proofErr w:type="gramStart"/>
      <w:r w:rsidRPr="00200622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Between</w:t>
      </w:r>
      <w:proofErr w:type="gramEnd"/>
      <w:r w:rsidRPr="00200622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Playwright and Cypress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871"/>
        <w:gridCol w:w="3751"/>
      </w:tblGrid>
      <w:tr w:rsidR="00200622" w:rsidRPr="00200622" w:rsidTr="00200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:rsidR="00200622" w:rsidRPr="00200622" w:rsidRDefault="00200622" w:rsidP="0020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Comparison Point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Cypress</w:t>
            </w:r>
          </w:p>
        </w:tc>
      </w:tr>
      <w:tr w:rsidR="00200622" w:rsidRPr="00200622" w:rsidTr="00200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Ease of Setup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Requires Node.js installation and Playwright package installation. Initial setup is straightforward but involves more configuration options.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Very easy to install using </w:t>
            </w:r>
            <w:proofErr w:type="spellStart"/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npm</w:t>
            </w:r>
            <w:proofErr w:type="spellEnd"/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. Automatically creates the required project structure on first launch.</w:t>
            </w:r>
          </w:p>
        </w:tc>
      </w:tr>
      <w:tr w:rsidR="00200622" w:rsidRPr="00200622" w:rsidTr="00200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Slightly steeper because it offers more advanced features and APIs. Suitable for beginners after some practice.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Beginner-friendly with simple syntax, excellent documentation, and an interactive Test Runner.</w:t>
            </w:r>
          </w:p>
        </w:tc>
      </w:tr>
      <w:tr w:rsidR="00200622" w:rsidRPr="00200622" w:rsidTr="00200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Supports Chromium, Google Chrome, Microsoft Edge, Firefox, and </w:t>
            </w:r>
            <w:proofErr w:type="spellStart"/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WebKit</w:t>
            </w:r>
            <w:proofErr w:type="spellEnd"/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(Safari engine). Can test across multiple browsers easily.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Supports Chrome-family browsers, Firefox, and Edge. Browser support is good but </w:t>
            </w:r>
            <w:proofErr w:type="spellStart"/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WebKit</w:t>
            </w:r>
            <w:proofErr w:type="spellEnd"/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/Safari support is not available.</w:t>
            </w:r>
          </w:p>
        </w:tc>
      </w:tr>
      <w:tr w:rsidR="00200622" w:rsidRPr="00200622" w:rsidTr="00200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Very fast execution with support for parallel test execution, making it suitable for large test suites.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Fast execution for small and medium projects, but parallel execution is more limited compared to Playwright.</w:t>
            </w:r>
          </w:p>
        </w:tc>
      </w:tr>
      <w:tr w:rsidR="00200622" w:rsidRPr="00200622" w:rsidTr="00200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Debugging Experience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Provides Trace Viewer, screenshots, videos, logs, and detailed debugging tools for test analysis.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Offers an interactive Test Runner with time-travel debugging, command logs, screenshots, and videos, making debugging simple.</w:t>
            </w:r>
          </w:p>
        </w:tc>
      </w:tr>
      <w:tr w:rsidR="00200622" w:rsidRPr="00200622" w:rsidTr="00200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Supports HTML reports, JSON reports, JUnit reports, and integrates well with CI/CD pipelines.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Provides built-in reports, screenshots, videos, and can be extended with reporters such as </w:t>
            </w:r>
            <w:proofErr w:type="spellStart"/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Mochawesome</w:t>
            </w:r>
            <w:proofErr w:type="spellEnd"/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and Allure.</w:t>
            </w:r>
          </w:p>
        </w:tc>
      </w:tr>
      <w:tr w:rsidR="00200622" w:rsidRPr="00200622" w:rsidTr="00200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Best suited for cross-browser testing, advanced automation, and enterprise-level testing projects.</w:t>
            </w:r>
          </w:p>
        </w:tc>
        <w:tc>
          <w:tcPr>
            <w:tcW w:w="0" w:type="auto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Best suited for beginners, UI testing, end-to-end testing, and rapid web application testing.</w:t>
            </w:r>
          </w:p>
        </w:tc>
      </w:tr>
    </w:tbl>
    <w:p w:rsidR="00200622" w:rsidRPr="00200622" w:rsidRDefault="00200622" w:rsidP="00C67C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200622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90"/>
        <w:gridCol w:w="1398"/>
      </w:tblGrid>
      <w:tr w:rsidR="00200622" w:rsidRPr="00200622" w:rsidTr="00C67C76">
        <w:trPr>
          <w:tblHeader/>
          <w:tblCellSpacing w:w="15" w:type="dxa"/>
        </w:trPr>
        <w:tc>
          <w:tcPr>
            <w:tcW w:w="3375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Feature</w:t>
            </w:r>
          </w:p>
        </w:tc>
        <w:tc>
          <w:tcPr>
            <w:tcW w:w="1353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Better Choice</w:t>
            </w:r>
          </w:p>
        </w:tc>
      </w:tr>
      <w:tr w:rsidR="00200622" w:rsidRPr="00200622" w:rsidTr="00C67C76">
        <w:trPr>
          <w:tblCellSpacing w:w="15" w:type="dxa"/>
        </w:trPr>
        <w:tc>
          <w:tcPr>
            <w:tcW w:w="3375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Beginner Friendliness</w:t>
            </w:r>
          </w:p>
        </w:tc>
        <w:tc>
          <w:tcPr>
            <w:tcW w:w="1353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Cypress</w:t>
            </w:r>
          </w:p>
        </w:tc>
      </w:tr>
      <w:tr w:rsidR="00200622" w:rsidRPr="00200622" w:rsidTr="00C67C76">
        <w:trPr>
          <w:tblCellSpacing w:w="15" w:type="dxa"/>
        </w:trPr>
        <w:tc>
          <w:tcPr>
            <w:tcW w:w="3375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Cross-Browser Testing</w:t>
            </w:r>
          </w:p>
        </w:tc>
        <w:tc>
          <w:tcPr>
            <w:tcW w:w="1353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Playwright</w:t>
            </w:r>
          </w:p>
        </w:tc>
      </w:tr>
      <w:tr w:rsidR="00200622" w:rsidRPr="00200622" w:rsidTr="00C67C76">
        <w:trPr>
          <w:tblCellSpacing w:w="15" w:type="dxa"/>
        </w:trPr>
        <w:tc>
          <w:tcPr>
            <w:tcW w:w="3285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Speed</w:t>
            </w:r>
          </w:p>
        </w:tc>
        <w:tc>
          <w:tcPr>
            <w:tcW w:w="1443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Playwright</w:t>
            </w:r>
          </w:p>
        </w:tc>
      </w:tr>
      <w:tr w:rsidR="00200622" w:rsidRPr="00200622" w:rsidTr="00C67C76">
        <w:trPr>
          <w:tblCellSpacing w:w="15" w:type="dxa"/>
        </w:trPr>
        <w:tc>
          <w:tcPr>
            <w:tcW w:w="3375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Debugging</w:t>
            </w:r>
          </w:p>
        </w:tc>
        <w:tc>
          <w:tcPr>
            <w:tcW w:w="1353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Cypress</w:t>
            </w:r>
          </w:p>
        </w:tc>
      </w:tr>
      <w:tr w:rsidR="00200622" w:rsidRPr="00200622" w:rsidTr="00C67C76">
        <w:trPr>
          <w:tblCellSpacing w:w="15" w:type="dxa"/>
        </w:trPr>
        <w:tc>
          <w:tcPr>
            <w:tcW w:w="3375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Advanced Automation</w:t>
            </w:r>
          </w:p>
        </w:tc>
        <w:tc>
          <w:tcPr>
            <w:tcW w:w="1353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Playwright</w:t>
            </w:r>
          </w:p>
        </w:tc>
      </w:tr>
      <w:tr w:rsidR="00200622" w:rsidRPr="00200622" w:rsidTr="00C67C76">
        <w:trPr>
          <w:tblCellSpacing w:w="15" w:type="dxa"/>
        </w:trPr>
        <w:tc>
          <w:tcPr>
            <w:tcW w:w="3375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Ease of Learning</w:t>
            </w:r>
          </w:p>
        </w:tc>
        <w:tc>
          <w:tcPr>
            <w:tcW w:w="1353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Cypress</w:t>
            </w:r>
          </w:p>
        </w:tc>
      </w:tr>
      <w:tr w:rsidR="00200622" w:rsidRPr="00200622" w:rsidTr="00C67C76">
        <w:trPr>
          <w:tblCellSpacing w:w="15" w:type="dxa"/>
        </w:trPr>
        <w:tc>
          <w:tcPr>
            <w:tcW w:w="3375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Enterprise Projects</w:t>
            </w:r>
          </w:p>
        </w:tc>
        <w:tc>
          <w:tcPr>
            <w:tcW w:w="1353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Playwright</w:t>
            </w:r>
          </w:p>
        </w:tc>
      </w:tr>
      <w:tr w:rsidR="00200622" w:rsidRPr="00200622" w:rsidTr="00C67C76">
        <w:trPr>
          <w:tblCellSpacing w:w="15" w:type="dxa"/>
        </w:trPr>
        <w:tc>
          <w:tcPr>
            <w:tcW w:w="3375" w:type="dxa"/>
            <w:gridSpan w:val="2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00622">
              <w:rPr>
                <w:rFonts w:ascii="Times New Roman" w:eastAsia="Times New Roman" w:hAnsi="Times New Roman" w:cs="Times New Roman"/>
                <w:sz w:val="28"/>
                <w:szCs w:val="24"/>
              </w:rPr>
              <w:t>Small &amp; Medium Web Projects</w:t>
            </w:r>
          </w:p>
        </w:tc>
        <w:tc>
          <w:tcPr>
            <w:tcW w:w="1353" w:type="dxa"/>
            <w:vAlign w:val="center"/>
            <w:hideMark/>
          </w:tcPr>
          <w:p w:rsidR="00200622" w:rsidRPr="00200622" w:rsidRDefault="00200622" w:rsidP="0020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7C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Cypress</w:t>
            </w:r>
          </w:p>
        </w:tc>
      </w:tr>
    </w:tbl>
    <w:p w:rsidR="00200622" w:rsidRPr="00200622" w:rsidRDefault="00200622" w:rsidP="00200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  <w:u w:val="single"/>
        </w:rPr>
      </w:pPr>
      <w:r w:rsidRPr="00200622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  <w:u w:val="single"/>
        </w:rPr>
        <w:t>Conclusion</w:t>
      </w:r>
      <w:r w:rsidR="00C67C76" w:rsidRPr="00C67C76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  <w:u w:val="single"/>
        </w:rPr>
        <w:t>:</w:t>
      </w:r>
    </w:p>
    <w:p w:rsidR="00200622" w:rsidRPr="00200622" w:rsidRDefault="00200622" w:rsidP="0020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00622">
        <w:rPr>
          <w:rFonts w:ascii="Times New Roman" w:eastAsia="Times New Roman" w:hAnsi="Times New Roman" w:cs="Times New Roman"/>
          <w:sz w:val="28"/>
          <w:szCs w:val="24"/>
        </w:rPr>
        <w:t xml:space="preserve">Both Playwright and Cypress are powerful end-to-end testing frameworks. </w:t>
      </w:r>
      <w:r w:rsidRPr="00C67C76">
        <w:rPr>
          <w:rFonts w:ascii="Times New Roman" w:eastAsia="Times New Roman" w:hAnsi="Times New Roman" w:cs="Times New Roman"/>
          <w:b/>
          <w:bCs/>
          <w:sz w:val="28"/>
          <w:szCs w:val="24"/>
        </w:rPr>
        <w:t>Cypress</w:t>
      </w:r>
      <w:r w:rsidRPr="00200622">
        <w:rPr>
          <w:rFonts w:ascii="Times New Roman" w:eastAsia="Times New Roman" w:hAnsi="Times New Roman" w:cs="Times New Roman"/>
          <w:sz w:val="28"/>
          <w:szCs w:val="24"/>
        </w:rPr>
        <w:t xml:space="preserve"> is an excellent choice for beginners because of its simple setup, interactive test runner, and easy debugging experience. </w:t>
      </w:r>
      <w:r w:rsidRPr="00C67C76">
        <w:rPr>
          <w:rFonts w:ascii="Times New Roman" w:eastAsia="Times New Roman" w:hAnsi="Times New Roman" w:cs="Times New Roman"/>
          <w:b/>
          <w:bCs/>
          <w:sz w:val="28"/>
          <w:szCs w:val="24"/>
        </w:rPr>
        <w:t>Playwright</w:t>
      </w:r>
      <w:r w:rsidRPr="00200622">
        <w:rPr>
          <w:rFonts w:ascii="Times New Roman" w:eastAsia="Times New Roman" w:hAnsi="Times New Roman" w:cs="Times New Roman"/>
          <w:sz w:val="28"/>
          <w:szCs w:val="24"/>
        </w:rPr>
        <w:t xml:space="preserve"> is more suitable for advanced and enterprise-level testing due to its broader browser support, faster execution, and powerful automation capabilities. The choice depends on the project requirements, team experience, and testing goals.</w:t>
      </w:r>
    </w:p>
    <w:p w:rsidR="00200622" w:rsidRPr="00C67C76" w:rsidRDefault="00200622" w:rsidP="00AF725E">
      <w:pPr>
        <w:rPr>
          <w:rFonts w:ascii="Times New Roman" w:hAnsi="Times New Roman" w:cs="Times New Roman"/>
          <w:sz w:val="28"/>
          <w:szCs w:val="24"/>
        </w:rPr>
      </w:pPr>
    </w:p>
    <w:sectPr w:rsidR="00200622" w:rsidRPr="00C6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25E"/>
    <w:rsid w:val="00097F73"/>
    <w:rsid w:val="00200622"/>
    <w:rsid w:val="00AF725E"/>
    <w:rsid w:val="00B9296C"/>
    <w:rsid w:val="00C6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DB556-DB10-4C05-A0C6-F1118B10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06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0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06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06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0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0622"/>
    <w:rPr>
      <w:b/>
      <w:bCs/>
    </w:rPr>
  </w:style>
  <w:style w:type="character" w:styleId="Hyperlink">
    <w:name w:val="Hyperlink"/>
    <w:basedOn w:val="DefaultParagraphFont"/>
    <w:uiPriority w:val="99"/>
    <w:unhideWhenUsed/>
    <w:rsid w:val="00C67C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29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70146760@student.uol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2026-07-22T17:25:00Z</dcterms:created>
  <dcterms:modified xsi:type="dcterms:W3CDTF">2026-07-22T18:21:00Z</dcterms:modified>
</cp:coreProperties>
</file>