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Author"/>
      </w:pPr>
      <w:r>
        <w:t xml:space="preserve">Søren Jørgensen</w:t>
      </w:r>
    </w:p>
    <w:p>
      <w:pPr>
        <w:pStyle w:val="Date"/>
      </w:pPr>
      <w:r>
        <w:t xml:space="preserve">2024-11-26</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p>
      <w:r>
        <w:br w:type="page"/>
      </w:r>
    </w:p>
    <w:bookmarkStart w:id="23" w:name="introduction"/>
    <w:p>
      <w:pPr>
        <w:pStyle w:val="Heading2"/>
      </w:pPr>
      <w:r>
        <w:t xml:space="preserve">Introduction</w:t>
      </w:r>
    </w:p>
    <w:bookmarkStart w:id="20" w:name="X0cc49b0f65394600bb4e7a29e2bb09612f8e3e4"/>
    <w:p>
      <w:pPr>
        <w:pStyle w:val="Heading3"/>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3"/>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3"/>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0" w:name="methods"/>
    <w:p>
      <w:pPr>
        <w:pStyle w:val="Heading2"/>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3"/>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4"/>
          <w:bookmarkEnd w:id="25"/>
          <w:p/>
        </w:tc>
      </w:tr>
    </w:tbl>
    <w:bookmarkEnd w:id="26"/>
    <w:bookmarkStart w:id="39" w:name="handling-coolers-or-preparing-coolers"/>
    <w:p>
      <w:pPr>
        <w:pStyle w:val="Heading3"/>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27" w:name="fig-flowchart-handling-coolers"/>
          <w:p>
            <w:pPr>
              <w:pStyle w:val="Compact"/>
              <w:jc w:val="center"/>
            </w:pPr>
            <w:r>
              <w:t xml:space="preserve">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p>
            <w:pPr>
              <w:jc w:val="center"/>
            </w:pPr>
            <w:pPr>
              <w:jc w:val="start"/>
              <w:spacing w:before="200"/>
              <w:pStyle w:val="ImageCaption"/>
            </w:pPr>
            <w:r>
              <w:t xml:space="preserve">Figure 1</w:t>
            </w:r>
          </w:p>
          <w:bookmarkEnd w:id="27"/>
        </w:tc>
      </w:tr>
    </w:tbl>
    <w:bookmarkStart w:id="38" w:name="the-gwf-workflow-targets"/>
    <w:p>
      <w:pPr>
        <w:pStyle w:val="Heading4"/>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 on the other samples.</w:t>
      </w:r>
    </w:p>
    <w:bookmarkStart w:id="28" w:name="downloading-the-reads"/>
    <w:p>
      <w:pPr>
        <w:pStyle w:val="Heading5"/>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28"/>
    <w:bookmarkStart w:id="29" w:name="handling-the-reference"/>
    <w:p>
      <w:pPr>
        <w:pStyle w:val="Heading5"/>
      </w:pPr>
      <w:r>
        <w:t xml:space="preserve">Handling the reference</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bookmarkEnd w:id="29"/>
    <w:bookmarkStart w:id="30" w:name="mapping-paired-end-reads"/>
    <w:p>
      <w:pPr>
        <w:pStyle w:val="Heading5"/>
      </w:pPr>
      <w:r>
        <w:t xml:space="preserve">Mapping paired-end reads</w:t>
      </w:r>
    </w:p>
    <w:bookmarkEnd w:id="30"/>
    <w:bookmarkStart w:id="31" w:name="pair-and-sort-the-reads"/>
    <w:p>
      <w:pPr>
        <w:pStyle w:val="Heading5"/>
      </w:pPr>
      <w:r>
        <w:t xml:space="preserve">Pair and sort the reads</w:t>
      </w:r>
    </w:p>
    <w:bookmarkEnd w:id="31"/>
    <w:bookmarkStart w:id="32" w:name="filter-deduplicate-pairs"/>
    <w:p>
      <w:pPr>
        <w:pStyle w:val="Heading5"/>
      </w:pPr>
      <w:r>
        <w:t xml:space="preserve">Filter (deduplicate) pairs</w:t>
      </w:r>
    </w:p>
    <w:bookmarkEnd w:id="32"/>
    <w:bookmarkStart w:id="33" w:name="create-interaction-matrices-coolers"/>
    <w:p>
      <w:pPr>
        <w:pStyle w:val="Heading5"/>
      </w:pPr>
      <w:r>
        <w:t xml:space="preserve">Create interaction matrices (coolers)</w:t>
      </w:r>
    </w:p>
    <w:bookmarkEnd w:id="33"/>
    <w:bookmarkStart w:id="34" w:name="pooling-samples-merging-coolers"/>
    <w:p>
      <w:pPr>
        <w:pStyle w:val="Heading5"/>
      </w:pPr>
      <w:r>
        <w:t xml:space="preserve">Pooling samples (Merging coolers)</w:t>
      </w:r>
    </w:p>
    <w:p>
      <w:pPr>
        <w:pStyle w:val="FirstParagraph"/>
      </w:pPr>
      <w:r>
        <w:t xml:space="preserve">The strategy to get the best signal was by pooling the interaction matrices.</w:t>
      </w:r>
      <w:r>
        <w:t xml:space="preserve"> </w:t>
      </w:r>
      <w:r>
        <w:rPr>
          <w:rStyle w:val="VerbatimChar"/>
        </w:rPr>
        <w:t xml:space="preserve">cooler merge</w:t>
      </w:r>
      <w:r>
        <w:t xml:space="preserve"> </w:t>
      </w:r>
      <w:r>
        <w:t xml:space="preserve">was used to merge all samples in each sub-folder (cell type) to just one interaction matrix for each cell type. The reason for that is that we choose to trust</w:t>
      </w:r>
      <w:r>
        <w:t xml:space="preserve"> </w:t>
      </w:r>
      <w:r>
        <w:t xml:space="preserve">Wang et al. (2019)</w:t>
      </w:r>
      <w:r>
        <w:t xml:space="preserve"> </w:t>
      </w:r>
      <w:r>
        <w:t xml:space="preserve">when they say that compartments are highly reproducible between replicates, and by merging all replicates, we will have a more robust signal.</w:t>
      </w:r>
    </w:p>
    <w:bookmarkEnd w:id="34"/>
    <w:bookmarkStart w:id="35" w:name="create-multi-resolution-coolers-zoomify"/>
    <w:p>
      <w:pPr>
        <w:pStyle w:val="Heading5"/>
      </w:pPr>
      <w:r>
        <w:t xml:space="preserve">Create multi-resolution coolers (zoomify)</w:t>
      </w:r>
    </w:p>
    <w:bookmarkEnd w:id="35"/>
    <w:bookmarkStart w:id="36" w:name="matrix-balancing-iterative-correction"/>
    <w:p>
      <w:pPr>
        <w:pStyle w:val="Heading5"/>
      </w:pPr>
      <w:r>
        <w:t xml:space="preserve">Matrix balancing (Iterative correction)</w:t>
      </w:r>
    </w:p>
    <w:bookmarkEnd w:id="36"/>
    <w:bookmarkStart w:id="37" w:name="eigendecomposition"/>
    <w:p>
      <w:pPr>
        <w:pStyle w:val="Heading5"/>
      </w:pPr>
      <w:r>
        <w:t xml:space="preserve">Eigendecomposition</w:t>
      </w:r>
    </w:p>
    <w:p>
      <w:r>
        <w:br w:type="page"/>
      </w:r>
    </w:p>
    <w:bookmarkEnd w:id="37"/>
    <w:bookmarkEnd w:id="38"/>
    <w:bookmarkEnd w:id="39"/>
    <w:bookmarkEnd w:id="40"/>
    <w:bookmarkStart w:id="41" w:name="results"/>
    <w:p>
      <w:pPr>
        <w:pStyle w:val="Heading2"/>
      </w:pPr>
      <w:r>
        <w:t xml:space="preserve">Results</w:t>
      </w:r>
    </w:p>
    <w:p>
      <w:pPr>
        <w:pStyle w:val="FirstParagraph"/>
      </w:pPr>
      <w:r>
        <w:t xml:space="preserve">Here are the glorious results</w:t>
      </w:r>
    </w:p>
    <w:p>
      <w:r>
        <w:br w:type="page"/>
      </w:r>
    </w:p>
    <w:bookmarkEnd w:id="41"/>
    <w:bookmarkStart w:id="42" w:name="discussion"/>
    <w:p>
      <w:pPr>
        <w:pStyle w:val="Heading2"/>
      </w:pPr>
      <w:r>
        <w:t xml:space="preserve">Discussion</w:t>
      </w:r>
    </w:p>
    <w:p>
      <w:pPr>
        <w:pStyle w:val="FirstParagraph"/>
      </w:pPr>
      <w:r>
        <w:t xml:space="preserve">Here is the discussion</w:t>
      </w:r>
    </w:p>
    <w:p>
      <w:r>
        <w:br w:type="page"/>
      </w:r>
    </w:p>
    <w:bookmarkEnd w:id="42"/>
    <w:bookmarkStart w:id="58" w:name="bibliography"/>
    <w:p>
      <w:pPr>
        <w:pStyle w:val="Heading2"/>
      </w:pPr>
      <w:r>
        <w:t xml:space="preserve">Bibliography</w:t>
      </w:r>
    </w:p>
    <w:bookmarkStart w:id="57" w:name="refs"/>
    <w:bookmarkStart w:id="44"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43">
        <w:r>
          <w:rPr>
            <w:rStyle w:val="Hyperlink"/>
          </w:rPr>
          <w:t xml:space="preserve">https://doi.org/10.1146/annurev.ecolsys.32.081501.113958</w:t>
        </w:r>
      </w:hyperlink>
      <w:r>
        <w:t xml:space="preserve">.</w:t>
      </w:r>
    </w:p>
    <w:bookmarkEnd w:id="44"/>
    <w:bookmarkStart w:id="46"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45">
        <w:r>
          <w:rPr>
            <w:rStyle w:val="Hyperlink"/>
          </w:rPr>
          <w:t xml:space="preserve">https://doi.org/10.1126/science.1181369</w:t>
        </w:r>
      </w:hyperlink>
      <w:r>
        <w:t xml:space="preserve">.</w:t>
      </w:r>
    </w:p>
    <w:bookmarkEnd w:id="46"/>
    <w:bookmarkStart w:id="48" w:name="ref-munch_group_2024"/>
    <w:p>
      <w:pPr>
        <w:pStyle w:val="Bibliography"/>
      </w:pPr>
      <w:r>
        <w:t xml:space="preserve">Munch, Kasper. 2024.</w:t>
      </w:r>
      <w:r>
        <w:t xml:space="preserve"> </w:t>
      </w:r>
      <w:r>
        <w:t xml:space="preserve">“Munch-Group.”</w:t>
      </w:r>
      <w:r>
        <w:t xml:space="preserve"> </w:t>
      </w:r>
      <w:hyperlink r:id="rId47">
        <w:r>
          <w:rPr>
            <w:rStyle w:val="Hyperlink"/>
          </w:rPr>
          <w:t xml:space="preserve">https://munch-group.org/research.html</w:t>
        </w:r>
      </w:hyperlink>
      <w:r>
        <w:t xml:space="preserve">.</w:t>
      </w:r>
    </w:p>
    <w:bookmarkEnd w:id="48"/>
    <w:bookmarkStart w:id="50"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49">
        <w:r>
          <w:rPr>
            <w:rStyle w:val="Hyperlink"/>
          </w:rPr>
          <w:t xml:space="preserve">https://open2c.github.io/</w:t>
        </w:r>
      </w:hyperlink>
      <w:r>
        <w:t xml:space="preserve">.</w:t>
      </w:r>
    </w:p>
    <w:bookmarkEnd w:id="50"/>
    <w:bookmarkStart w:id="52"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1">
        <w:r>
          <w:rPr>
            <w:rStyle w:val="Hyperlink"/>
          </w:rPr>
          <w:t xml:space="preserve">https://doi.org/10.1016/j.xgen.2023.100274</w:t>
        </w:r>
      </w:hyperlink>
      <w:r>
        <w:t xml:space="preserve">.</w:t>
      </w:r>
    </w:p>
    <w:bookmarkEnd w:id="52"/>
    <w:bookmarkStart w:id="54"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53">
        <w:r>
          <w:rPr>
            <w:rStyle w:val="Hyperlink"/>
          </w:rPr>
          <w:t xml:space="preserve">https://doi.org/10.1126/science.abn8153</w:t>
        </w:r>
      </w:hyperlink>
      <w:r>
        <w:t xml:space="preserve">.</w:t>
      </w:r>
    </w:p>
    <w:bookmarkEnd w:id="54"/>
    <w:bookmarkStart w:id="56"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55">
        <w:r>
          <w:rPr>
            <w:rStyle w:val="Hyperlink"/>
          </w:rPr>
          <w:t xml:space="preserve">https://doi.org/10.1016/j.molcel.2018.11.019</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molcel.2018.11.019" TargetMode="External" /><Relationship Type="http://schemas.openxmlformats.org/officeDocument/2006/relationships/hyperlink" Id="rId51" Target="https://doi.org/10.1016/j.xgen.2023.100274" TargetMode="External" /><Relationship Type="http://schemas.openxmlformats.org/officeDocument/2006/relationships/hyperlink" Id="rId45" Target="https://doi.org/10.1126/science.1181369" TargetMode="External" /><Relationship Type="http://schemas.openxmlformats.org/officeDocument/2006/relationships/hyperlink" Id="rId53" Target="https://doi.org/10.1126/science.abn8153" TargetMode="External" /><Relationship Type="http://schemas.openxmlformats.org/officeDocument/2006/relationships/hyperlink" Id="rId43" Target="https://doi.org/10.1146/annurev.ecolsys.32.081501.113958" TargetMode="External" /><Relationship Type="http://schemas.openxmlformats.org/officeDocument/2006/relationships/hyperlink" Id="rId47" Target="https://munch-group.org/research.html" TargetMode="External" /><Relationship Type="http://schemas.openxmlformats.org/officeDocument/2006/relationships/hyperlink" Id="rId49" Target="https://open2c.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Søren Jørgensen</dc:creator>
  <cp:keywords>Hi-C, Chromatin Compartments, Selection</cp:keywords>
  <dcterms:created xsi:type="dcterms:W3CDTF">2024-11-26T19:23:46Z</dcterms:created>
  <dcterms:modified xsi:type="dcterms:W3CDTF">2024-11-26T19:23:46Z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2024-11-26</vt:lpwstr>
  </property>
  <property fmtid="{D5CDD505-2E9C-101B-9397-08002B2CF9AE}" pid="9" name="from">
    <vt:lpwstr>markdown+emoji</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plain-language-summary">
    <vt:lpwstr>3-dimensional structure of chromatin brings light onto the mystery of selfish genes.</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How Edges of Active Chromatin Align with Selection Regions in Primates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