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Chromatin Compartments and Selection on X</w:t>
      </w:r>
    </w:p>
    <w:p>
      <w:pPr>
        <w:pStyle w:val="Subtitle"/>
      </w:pPr>
      <w:r>
        <w:t xml:space="preserve">How Edges of Active Chromatin Align with Selection Regions in Primates</w:t>
      </w:r>
    </w:p>
    <w:p>
      <w:pPr>
        <w:pStyle w:val="Author"/>
      </w:pPr>
      <w:r>
        <w:t xml:space="preserve">Søren Jørgensen</w:t>
      </w:r>
    </w:p>
    <w:p>
      <w:pPr>
        <w:pStyle w:val="Date"/>
      </w:pPr>
      <w:r>
        <w:t xml:space="preserve">2024-11-27</w:t>
      </w:r>
    </w:p>
    <w:p>
      <w:pPr>
        <w:pStyle w:val="AbstractTitle"/>
      </w:pPr>
      <w:r>
        <w:t xml:space="preserve">Abstract</w:t>
      </w:r>
    </w:p>
    <w:p>
      <w:pPr>
        <w:pStyle w:val="Abstract"/>
      </w:pPr>
      <w:r>
        <w:t xml:space="preserve">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w:t>
      </w:r>
    </w:p>
    <w:p>
      <w:r>
        <w:br w:type="page"/>
      </w:r>
    </w:p>
    <w:bookmarkStart w:id="23" w:name="introduction"/>
    <w:p>
      <w:pPr>
        <w:pStyle w:val="Heading2"/>
      </w:pPr>
      <w:r>
        <w:t xml:space="preserve">Introduction</w:t>
      </w:r>
    </w:p>
    <w:bookmarkStart w:id="20" w:name="X0cc49b0f65394600bb4e7a29e2bb09612f8e3e4"/>
    <w:p>
      <w:pPr>
        <w:pStyle w:val="Heading3"/>
      </w:pPr>
      <w:r>
        <w:t xml:space="preserve">Sexual reproduction (spermatogenesis, meiosis)</w:t>
      </w:r>
    </w:p>
    <w:p>
      <w:pPr>
        <w:pStyle w:val="FirstParagraph"/>
      </w:pPr>
      <w:r>
        <w:t xml:space="preserve">The production of gametes in a sexually reproducing organism is a highly complex process that involves numeruous elements. Spermatogenesis, the process of forming male gametes, involves four stages of differentiation from a germ cell through</w:t>
      </w:r>
      <w:r>
        <w:t xml:space="preserve"> </w:t>
      </w:r>
      <w:r>
        <w:rPr>
          <w:i/>
          <w:iCs/>
        </w:rPr>
        <w:t xml:space="preserve">spermatogonia</w:t>
      </w:r>
      <w:r>
        <w:t xml:space="preserve">,</w:t>
      </w:r>
      <w:r>
        <w:t xml:space="preserve"> </w:t>
      </w:r>
      <w:r>
        <w:rPr>
          <w:i/>
          <w:iCs/>
        </w:rPr>
        <w:t xml:space="preserve">pachytene spermatocyte</w:t>
      </w:r>
      <w:r>
        <w:t xml:space="preserve">, and</w:t>
      </w:r>
      <w:r>
        <w:t xml:space="preserve"> </w:t>
      </w:r>
      <w:r>
        <w:rPr>
          <w:i/>
          <w:iCs/>
        </w:rPr>
        <w:t xml:space="preserve">round spermatids</w:t>
      </w:r>
      <w:r>
        <w:t xml:space="preserve"> </w:t>
      </w:r>
      <w:r>
        <w:t xml:space="preserve">to</w:t>
      </w:r>
      <w:r>
        <w:t xml:space="preserve"> </w:t>
      </w:r>
      <w:r>
        <w:rPr>
          <w:i/>
          <w:iCs/>
        </w:rPr>
        <w:t xml:space="preserve">spermatozoa</w:t>
      </w:r>
      <w:r>
        <w:t xml:space="preserve">, or</w:t>
      </w:r>
      <w:r>
        <w:t xml:space="preserve"> </w:t>
      </w:r>
      <w:r>
        <w:rPr>
          <w:i/>
          <w:iCs/>
        </w:rPr>
        <w:t xml:space="preserve">sperm</w:t>
      </w:r>
      <w:r>
        <w:t xml:space="preserve"> </w:t>
      </w:r>
      <w:r>
        <w:t xml:space="preserve">(Wang et al. 2019)</w:t>
      </w:r>
      <w:r>
        <w:t xml:space="preserve">, and it is the very basis of male reproduction. The specialized cell division of meiosis neatly handles the pairing, recombination, and segregation of homologous chromosomes, thereby ensuring proper genetic distribution. Deeply understanding the steps of molecular steps of reproduction and how our genetic material is inherited is essential in biology, bringing insight to areas such as speciation, population diversity, and (male) infertility.</w:t>
      </w:r>
    </w:p>
    <w:bookmarkEnd w:id="20"/>
    <w:bookmarkStart w:id="21" w:name="selfish-genes-and-randomness"/>
    <w:p>
      <w:pPr>
        <w:pStyle w:val="Heading3"/>
      </w:pPr>
      <w:r>
        <w:t xml:space="preserve">Selfish genes (and randomness)</w:t>
      </w:r>
    </w:p>
    <w:p>
      <w:pPr>
        <w:pStyle w:val="FirstParagraph"/>
      </w:pPr>
      <w:r>
        <w:t xml:space="preserve">The conventional story of meiosis in gametogenesis is one of random segregation of the sex chromosomes. They split into haploid gametes, where each chromosome has an equal chance of being passed on to a gamete. That seems like a fair game, but what if some genes are cheating the system by making others less viable. A meiotic driver is a selfish gene element that modulates meiosis and preferentially transmits its own allele through meiosis, regardless of the downstream fitness effects it may have (good or bad) on the organism it is part of. This phenomenon challenges the traditional understanding of selection, extending its scope beyond the fitness effects on an organism to include selective pressures at the molecular level.</w:t>
      </w:r>
      <w:r>
        <w:t xml:space="preserve"> </w:t>
      </w:r>
      <w:r>
        <w:t xml:space="preserve">For example, if some genes on the X chromosome create a disadvantage for gametes that</w:t>
      </w:r>
      <w:r>
        <w:t xml:space="preserve"> </w:t>
      </w:r>
      <w:r>
        <w:rPr>
          <w:i/>
          <w:iCs/>
        </w:rPr>
        <w:t xml:space="preserve">do not</w:t>
      </w:r>
      <w:r>
        <w:t xml:space="preserve"> </w:t>
      </w:r>
      <w:r>
        <w:t xml:space="preserve">contain those genes, making sure the Y chromosome is not as viable as the X, resulting in a sex imbalance and possibly numerous other downstream effects. That is exactly what is coined</w:t>
      </w:r>
      <w:r>
        <w:t xml:space="preserve"> </w:t>
      </w:r>
      <w:r>
        <w:rPr>
          <w:i/>
          <w:iCs/>
        </w:rPr>
        <w:t xml:space="preserve">sex chromosome meiotic drive</w:t>
      </w:r>
      <w:r>
        <w:t xml:space="preserve"> </w:t>
      </w:r>
      <w:r>
        <w:t xml:space="preserve">(Jaenike 2001)</w:t>
      </w:r>
      <w:r>
        <w:t xml:space="preserve">, a result of selfish genetic elements.</w:t>
      </w:r>
    </w:p>
    <w:p>
      <w:pPr>
        <w:pStyle w:val="BodyText"/>
      </w:pPr>
      <w:r>
        <w:t xml:space="preserve">Motivated by previous results in the Munch Research group</w:t>
      </w:r>
      <w:r>
        <w:t xml:space="preserve"> </w:t>
      </w:r>
      <w:r>
        <w:t xml:space="preserve">(Munch 2024)</w:t>
      </w:r>
      <w:r>
        <w:t xml:space="preserve"> </w:t>
      </w:r>
      <w:r>
        <w:t xml:space="preserve">on hybrid incompatibility and extended common haplotypes</w:t>
      </w:r>
      <w:r>
        <w:t xml:space="preserve"> </w:t>
      </w:r>
      <w:r>
        <w:t xml:space="preserve">(Skov et al. 2023; Sørensen et al. 2023)</w:t>
      </w:r>
      <w:r>
        <w:t xml:space="preserve"> </w:t>
      </w:r>
      <w:r>
        <w:t xml:space="preserve">that could be explained by meiotic drive, we wanted to investigate how these patterns correlate with chromatin compartments.</w:t>
      </w:r>
    </w:p>
    <w:bookmarkEnd w:id="21"/>
    <w:bookmarkStart w:id="22" w:name="X19e12c691c06e9c8107bb83991f48d88bcb3bc3"/>
    <w:p>
      <w:pPr>
        <w:pStyle w:val="Heading3"/>
      </w:pPr>
      <w:r>
        <w:t xml:space="preserve">High-Throughput Chromosome Conformation Capture (Hi-C)</w:t>
      </w:r>
    </w:p>
    <w:p>
      <w:pPr>
        <w:pStyle w:val="FirstParagraph"/>
      </w:pPr>
      <w:r>
        <w:t xml:space="preserve">Our DNA can be divided into different orders of structure.</w:t>
      </w:r>
      <w:r>
        <w:t xml:space="preserve"> </w:t>
      </w:r>
      <w:r>
        <w:rPr>
          <w:i/>
          <w:iCs/>
        </w:rPr>
        <w:t xml:space="preserve">3C</w:t>
      </w:r>
      <w:r>
        <w:t xml:space="preserve"> </w:t>
      </w:r>
      <w:r>
        <w:t xml:space="preserve">focus on identifying the highest orders of organization inside the nucleus, that is, when the 30 nm thick coil of chromatin fibers folds into loops, Topologically Associating Domains (TADs), and chromatin compartments. Here, we narrow our focus on the largest of the structures,</w:t>
      </w:r>
      <w:r>
        <w:t xml:space="preserve"> </w:t>
      </w:r>
      <w:r>
        <w:rPr>
          <w:i/>
          <w:iCs/>
        </w:rPr>
        <w:t xml:space="preserve">compartments</w:t>
      </w:r>
      <w:r>
        <w:t xml:space="preserve">, that is known to determine availability to transcription factors, thus making an</w:t>
      </w:r>
      <w:r>
        <w:t xml:space="preserve"> </w:t>
      </w:r>
      <w:r>
        <w:rPr>
          <w:i/>
          <w:iCs/>
        </w:rPr>
        <w:t xml:space="preserve">A</w:t>
      </w:r>
      <w:r>
        <w:t xml:space="preserve"> </w:t>
      </w:r>
      <w:r>
        <w:t xml:space="preserve">compartment</w:t>
      </w:r>
      <w:r>
        <w:t xml:space="preserve"> </w:t>
      </w:r>
      <w:r>
        <w:rPr>
          <w:i/>
          <w:iCs/>
        </w:rPr>
        <w:t xml:space="preserve">active</w:t>
      </w:r>
      <w:r>
        <w:t xml:space="preserve">—and the</w:t>
      </w:r>
      <w:r>
        <w:t xml:space="preserve"> </w:t>
      </w:r>
      <w:r>
        <w:rPr>
          <w:i/>
          <w:iCs/>
        </w:rPr>
        <w:t xml:space="preserve">B</w:t>
      </w:r>
      <w:r>
        <w:t xml:space="preserve"> </w:t>
      </w:r>
      <w:r>
        <w:t xml:space="preserve">compartment</w:t>
      </w:r>
      <w:r>
        <w:t xml:space="preserve"> </w:t>
      </w:r>
      <w:r>
        <w:rPr>
          <w:i/>
          <w:iCs/>
        </w:rPr>
        <w:t xml:space="preserve">inactive</w:t>
      </w:r>
      <w:r>
        <w:t xml:space="preserve">. The introduction of the Hi-C (high-throughput 3C) method</w:t>
      </w:r>
      <w:r>
        <w:t xml:space="preserve"> </w:t>
      </w:r>
      <w:r>
        <w:t xml:space="preserve">(Lieberman-Aiden et al. 2009)</w:t>
      </w:r>
      <w:r>
        <w:t xml:space="preserve"> </w:t>
      </w:r>
      <w:r>
        <w:t xml:space="preserve">opened new possibilities for exploring the three-dimensional organization of the genome.</w:t>
      </w:r>
    </w:p>
    <w:p>
      <w:r>
        <w:br w:type="page"/>
      </w:r>
    </w:p>
    <w:bookmarkEnd w:id="22"/>
    <w:bookmarkEnd w:id="23"/>
    <w:bookmarkStart w:id="40" w:name="methods"/>
    <w:p>
      <w:pPr>
        <w:pStyle w:val="Heading2"/>
      </w:pPr>
      <w:r>
        <w:t xml:space="preserve">Methods</w:t>
      </w:r>
    </w:p>
    <w:p>
      <w:pPr>
        <w:pStyle w:val="FirstParagraph"/>
      </w:pPr>
      <w:r>
        <w:t xml:space="preserve">In this project, we formulate two objectives:</w:t>
      </w:r>
    </w:p>
    <w:p>
      <w:pPr>
        <w:pStyle w:val="BodyText"/>
      </w:pPr>
      <w:r>
        <w:rPr>
          <w:b/>
          <w:bCs/>
        </w:rPr>
        <w:t xml:space="preserve">A</w:t>
      </w:r>
      <w:r>
        <w:t xml:space="preserve">: Reproduce the Hi-C interaction maps and eigendecomposition from</w:t>
      </w:r>
      <w:r>
        <w:t xml:space="preserve"> </w:t>
      </w:r>
      <w:r>
        <w:t xml:space="preserve">(Wang et al. 2019)</w:t>
      </w:r>
      <w:r>
        <w:t xml:space="preserve">, with some modifications. We briefly use</w:t>
      </w:r>
      <w:r>
        <w:t xml:space="preserve"> </w:t>
      </w:r>
      <w:r>
        <w:rPr>
          <w:i/>
          <w:iCs/>
        </w:rPr>
        <w:t xml:space="preserve">HiCExplorer</w:t>
      </w:r>
      <w:r>
        <w:t xml:space="preserve">, but change the analyses to use the</w:t>
      </w:r>
      <w:r>
        <w:t xml:space="preserve"> </w:t>
      </w:r>
      <w:r>
        <w:rPr>
          <w:i/>
          <w:iCs/>
        </w:rPr>
        <w:t xml:space="preserve">Open2C Ecosystem</w:t>
      </w:r>
      <w:r>
        <w:t xml:space="preserve"> </w:t>
      </w:r>
      <w:r>
        <w:t xml:space="preserve">(Open Chromosome Collective 2024)</w:t>
      </w:r>
      <w:r>
        <w:t xml:space="preserve"> </w:t>
      </w:r>
      <w:r>
        <w:t xml:space="preserve">which have a Pyton API as well as command-line functions, which can be paired very well with Jupyter Notebooks. The majority of the data analysis was run with a</w:t>
      </w:r>
      <w:r>
        <w:t xml:space="preserve"> </w:t>
      </w:r>
      <w:r>
        <w:rPr>
          <w:i/>
          <w:iCs/>
        </w:rPr>
        <w:t xml:space="preserve">gwf</w:t>
      </w:r>
      <w:r>
        <w:t xml:space="preserve"> </w:t>
      </w:r>
      <w:r>
        <w:t xml:space="preserve">workflow, and the commands that were visually inspected were run in Jupyter Notebooks.</w:t>
      </w:r>
    </w:p>
    <w:p>
      <w:pPr>
        <w:pStyle w:val="BodyText"/>
      </w:pPr>
      <w:r>
        <w:rPr>
          <w:b/>
          <w:bCs/>
        </w:rPr>
        <w:t xml:space="preserve">B</w:t>
      </w:r>
      <w:r>
        <w:t xml:space="preserve"> </w:t>
      </w:r>
      <w:r>
        <w:t xml:space="preserve">Compare with regions of selection that are found in</w:t>
      </w:r>
      <w:r>
        <w:t xml:space="preserve"> </w:t>
      </w:r>
      <w:r>
        <w:rPr>
          <w:i/>
          <w:iCs/>
        </w:rPr>
        <w:t xml:space="preserve">papio anubis</w:t>
      </w:r>
      <w:r>
        <w:t xml:space="preserve">, and maybe in</w:t>
      </w:r>
      <w:r>
        <w:t xml:space="preserve"> </w:t>
      </w:r>
      <w:r>
        <w:rPr>
          <w:i/>
          <w:iCs/>
        </w:rPr>
        <w:t xml:space="preserve">human</w:t>
      </w:r>
      <w:r>
        <w:t xml:space="preserve"> </w:t>
      </w:r>
      <w:r>
        <w:t xml:space="preserve">too. Investigate the biological meaning of the results.</w:t>
      </w:r>
    </w:p>
    <w:p>
      <w:pPr>
        <w:pStyle w:val="BodyText"/>
      </w:pPr>
      <w:r>
        <w:t xml:space="preserve">All computations were performed on GenomeDK (GDK) [ref], an HPC cluster located on Aarhus Uninversity, and most of the processing of the data was nested into a</w:t>
      </w:r>
      <w:r>
        <w:t xml:space="preserve"> </w:t>
      </w:r>
      <w:r>
        <w:rPr>
          <w:i/>
          <w:iCs/>
        </w:rPr>
        <w:t xml:space="preserve">gwf</w:t>
      </w:r>
      <w:r>
        <w:t xml:space="preserve"> </w:t>
      </w:r>
      <w:r>
        <w:t xml:space="preserve">workflow [ref], a workflow manager developed at GDK. I would like to thank GDK and Aarhus University for providing computational resources and support that contributed to these research results.</w:t>
      </w:r>
    </w:p>
    <w:p>
      <w:pPr>
        <w:pStyle w:val="BodyText"/>
      </w:pPr>
      <w:r>
        <w:t xml:space="preserve">The whole of this project is carried out with reproducibility in mind, so an effort (and quite a significant amount of time) has been put into documenting code and organizing the project for readbility and transparency through a Quarto project [ref]. Therefore, all code, virtual environments and text is made available as a Quarto book, rendered directly from the GitHub repository with GitHub Pages []. To make this possible, the Quarto documentation has been extensively studied and discussed with</w:t>
      </w:r>
      <w:r>
        <w:t xml:space="preserve"> </w:t>
      </w:r>
      <w:r>
        <w:rPr>
          <w:i/>
          <w:iCs/>
        </w:rPr>
        <w:t xml:space="preserve">KMT</w:t>
      </w:r>
      <w:r>
        <w:t xml:space="preserve"> </w:t>
      </w:r>
      <w:r>
        <w:t xml:space="preserve">[ref, aknowledge].</w:t>
      </w:r>
    </w:p>
    <w:bookmarkStart w:id="26" w:name="downloading-data-and-project-structure"/>
    <w:p>
      <w:pPr>
        <w:pStyle w:val="Heading3"/>
      </w:pPr>
      <w:r>
        <w:t xml:space="preserve">Downloading Data and Project Structure</w:t>
      </w:r>
    </w:p>
    <w:p>
      <w:pPr>
        <w:pStyle w:val="FirstParagraph"/>
      </w:pPr>
      <w:r>
        <w:t xml:space="preserve">To reproduce the results from</w:t>
      </w:r>
      <w:r>
        <w:t xml:space="preserve"> </w:t>
      </w:r>
      <w:r>
        <w:t xml:space="preserve">(Wang et al. 2019)</w:t>
      </w:r>
      <w:r>
        <w:t xml:space="preserve">, I chose to use their raw data directly from the SRA portal [ref]. I filtered the data to contain all their paired-end Hi-C reads, and included only macaque samples. The data set also contains RNAseq data, and the same tissues for both macaque and mouse. The meta data for the data set was extracted into a runtable</w:t>
      </w:r>
      <w:r>
        <w:t xml:space="preserve"> </w:t>
      </w:r>
      <w:r>
        <w:rPr>
          <w:rStyle w:val="VerbatimChar"/>
        </w:rPr>
        <w:t xml:space="preserve">SRA-runtable.tsv</w:t>
      </w:r>
      <w:r>
        <w:t xml:space="preserve">. To get an overview of the data accessions used in this analysis, we will first summarize the runtable that contains the accession numbers and some metadata for each sample (</w:t>
      </w:r>
      <w:hyperlink w:anchor="tbl-runtable">
        <w:r>
          <w:rPr>
            <w:rStyle w:val="Hyperlink"/>
          </w:rPr>
          <w:t xml:space="preserve">Table 1</w:t>
        </w:r>
      </w:hyperlink>
      <w:r>
        <w:t xml:space="preserve">). It adds up to ~1Tb of compressed</w:t>
      </w:r>
      <w:r>
        <w:t xml:space="preserve"> </w:t>
      </w:r>
      <w:r>
        <w:rPr>
          <w:rStyle w:val="VerbatimChar"/>
        </w:rPr>
        <w:t xml:space="preserve">fastq</w:t>
      </w:r>
      <w:r>
        <w:t xml:space="preserve"> </w:t>
      </w:r>
      <w:r>
        <w:t xml:space="preserve">files, holding ~9.5 billion reads, roughly evenly spread on the 5 tissue types.</w:t>
      </w:r>
    </w:p>
    <w:tbl>
      <w:tblPr>
        <w:tblStyle w:val="Table"/>
        <w:tblW w:type="pct" w:w="5000"/>
        <w:tblLayout w:type="fixed"/>
        <w:tblLook w:firstRow="0" w:lastRow="0" w:firstColumn="0" w:lastColumn="0" w:noHBand="0" w:noVBand="0" w:val="0000"/>
      </w:tblPr>
      <w:tblGrid>
        <w:gridCol w:w="7920"/>
      </w:tblGrid>
      <w:tr>
        <w:tc>
          <w:tcPr/>
          <w:bookmarkStart w:id="25" w:name="tbl-runtable"/>
          <w:p>
            <w:pPr>
              <w:jc w:val="center"/>
            </w:pPr>
            <w:pPr>
              <w:jc w:val="start"/>
              <w:spacing w:before="200"/>
              <w:pStyle w:val="ImageCaption"/>
            </w:pPr>
            <w:r>
              <w:t xml:space="preserve">Table 1: The most relevant columns of the</w:t>
            </w:r>
            <w:r>
              <w:t xml:space="preserve"> </w:t>
            </w:r>
            <w:r>
              <w:rPr>
                <w:rStyle w:val="VerbatimChar"/>
              </w:rPr>
              <w:t xml:space="preserve">SRA-runtable.tsv</w:t>
            </w:r>
            <w:r>
              <w:t xml:space="preserve"> </w:t>
            </w:r>
            <w:r>
              <w:t xml:space="preserve">file</w:t>
            </w:r>
          </w:p>
          <w:bookmarkStart w:id="24" w:name="T_c1ff2"/>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 </w:t>
                  </w:r>
                </w:p>
              </w:tc>
              <w:tc>
                <w:tcPr/>
                <w:p>
                  <w:pPr>
                    <w:pStyle w:val="Compact"/>
                    <w:jc w:val="center"/>
                  </w:pPr>
                  <w:r>
                    <w:t xml:space="preserve">source_name</w:t>
                  </w:r>
                </w:p>
              </w:tc>
              <w:tc>
                <w:tcPr/>
                <w:p>
                  <w:pPr>
                    <w:pStyle w:val="Compact"/>
                    <w:jc w:val="center"/>
                  </w:pPr>
                  <w:r>
                    <w:t xml:space="preserve">BioSample</w:t>
                  </w:r>
                </w:p>
              </w:tc>
              <w:tc>
                <w:tcPr/>
                <w:p>
                  <w:pPr>
                    <w:pStyle w:val="Compact"/>
                    <w:jc w:val="center"/>
                  </w:pPr>
                  <w:r>
                    <w:t xml:space="preserve">Run</w:t>
                  </w:r>
                </w:p>
              </w:tc>
              <w:tc>
                <w:tcPr/>
                <w:p>
                  <w:pPr>
                    <w:pStyle w:val="Compact"/>
                    <w:jc w:val="center"/>
                  </w:pPr>
                  <w:r>
                    <w:t xml:space="preserve">GB</w:t>
                  </w:r>
                </w:p>
              </w:tc>
              <w:tc>
                <w:tcPr/>
                <w:p>
                  <w:pPr>
                    <w:pStyle w:val="Compact"/>
                    <w:jc w:val="center"/>
                  </w:pPr>
                  <w:r>
                    <w:t xml:space="preserve">Bases</w:t>
                  </w:r>
                </w:p>
              </w:tc>
              <w:tc>
                <w:tcPr/>
                <w:p>
                  <w:pPr>
                    <w:pStyle w:val="Compact"/>
                    <w:jc w:val="center"/>
                  </w:pPr>
                  <w:r>
                    <w:t xml:space="preserve">Reads</w:t>
                  </w:r>
                </w:p>
              </w:tc>
            </w:tr>
            <w:tr>
              <w:tc>
                <w:tcPr/>
                <w:p>
                  <w:pPr>
                    <w:pStyle w:val="Compact"/>
                    <w:jc w:val="center"/>
                  </w:pPr>
                  <w:r>
                    <w:t xml:space="preserve">16</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SRR6502335</w:t>
                  </w:r>
                </w:p>
              </w:tc>
              <w:tc>
                <w:tcPr/>
                <w:p>
                  <w:pPr>
                    <w:pStyle w:val="Compact"/>
                    <w:jc w:val="center"/>
                  </w:pPr>
                  <w:r>
                    <w:t xml:space="preserve">29.771059</w:t>
                  </w:r>
                </w:p>
              </w:tc>
              <w:tc>
                <w:tcPr/>
                <w:p>
                  <w:pPr>
                    <w:pStyle w:val="Compact"/>
                    <w:jc w:val="center"/>
                  </w:pPr>
                  <w:r>
                    <w:t xml:space="preserve">73,201,141,800</w:t>
                  </w:r>
                </w:p>
              </w:tc>
              <w:tc>
                <w:tcPr/>
                <w:p>
                  <w:pPr>
                    <w:pStyle w:val="Compact"/>
                    <w:jc w:val="center"/>
                  </w:pPr>
                  <w:r>
                    <w:t xml:space="preserve">244,003,806</w:t>
                  </w:r>
                </w:p>
              </w:tc>
            </w:tr>
            <w:tr>
              <w:tc>
                <w:tcPr/>
                <w:p>
                  <w:pPr>
                    <w:pStyle w:val="Compact"/>
                    <w:jc w:val="center"/>
                  </w:pPr>
                  <w:r>
                    <w:t xml:space="preserve">17</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SRR6502336</w:t>
                  </w:r>
                </w:p>
              </w:tc>
              <w:tc>
                <w:tcPr/>
                <w:p>
                  <w:pPr>
                    <w:pStyle w:val="Compact"/>
                    <w:jc w:val="center"/>
                  </w:pPr>
                  <w:r>
                    <w:t xml:space="preserve">22.755361</w:t>
                  </w:r>
                </w:p>
              </w:tc>
              <w:tc>
                <w:tcPr/>
                <w:p>
                  <w:pPr>
                    <w:pStyle w:val="Compact"/>
                    <w:jc w:val="center"/>
                  </w:pPr>
                  <w:r>
                    <w:t xml:space="preserve">65,119,970,100</w:t>
                  </w:r>
                </w:p>
              </w:tc>
              <w:tc>
                <w:tcPr/>
                <w:p>
                  <w:pPr>
                    <w:pStyle w:val="Compact"/>
                    <w:jc w:val="center"/>
                  </w:pPr>
                  <w:r>
                    <w:t xml:space="preserve">217,066,567</w:t>
                  </w:r>
                </w:p>
              </w:tc>
            </w:tr>
            <w:tr>
              <w:tc>
                <w:tcPr/>
                <w:p>
                  <w:pPr>
                    <w:pStyle w:val="Compact"/>
                    <w:jc w:val="center"/>
                  </w:pPr>
                  <w:r>
                    <w:t xml:space="preserve">18</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SRR6502337</w:t>
                  </w:r>
                </w:p>
              </w:tc>
              <w:tc>
                <w:tcPr/>
                <w:p>
                  <w:pPr>
                    <w:pStyle w:val="Compact"/>
                    <w:jc w:val="center"/>
                  </w:pPr>
                  <w:r>
                    <w:t xml:space="preserve">21.434722</w:t>
                  </w:r>
                </w:p>
              </w:tc>
              <w:tc>
                <w:tcPr/>
                <w:p>
                  <w:pPr>
                    <w:pStyle w:val="Compact"/>
                    <w:jc w:val="center"/>
                  </w:pPr>
                  <w:r>
                    <w:t xml:space="preserve">52,769,196,300</w:t>
                  </w:r>
                </w:p>
              </w:tc>
              <w:tc>
                <w:tcPr/>
                <w:p>
                  <w:pPr>
                    <w:pStyle w:val="Compact"/>
                    <w:jc w:val="center"/>
                  </w:pPr>
                  <w:r>
                    <w:t xml:space="preserve">175,897,321</w:t>
                  </w:r>
                </w:p>
              </w:tc>
            </w:tr>
            <w:tr>
              <w:tc>
                <w:tcPr/>
                <w:p>
                  <w:pPr>
                    <w:pStyle w:val="Compact"/>
                    <w:jc w:val="center"/>
                  </w:pPr>
                  <w:r>
                    <w:t xml:space="preserve">19</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SRR6502338</w:t>
                  </w:r>
                </w:p>
              </w:tc>
              <w:tc>
                <w:tcPr/>
                <w:p>
                  <w:pPr>
                    <w:pStyle w:val="Compact"/>
                    <w:jc w:val="center"/>
                  </w:pPr>
                  <w:r>
                    <w:t xml:space="preserve">21.420030</w:t>
                  </w:r>
                </w:p>
              </w:tc>
              <w:tc>
                <w:tcPr/>
                <w:p>
                  <w:pPr>
                    <w:pStyle w:val="Compact"/>
                    <w:jc w:val="center"/>
                  </w:pPr>
                  <w:r>
                    <w:t xml:space="preserve">52,378,949,100</w:t>
                  </w:r>
                </w:p>
              </w:tc>
              <w:tc>
                <w:tcPr/>
                <w:p>
                  <w:pPr>
                    <w:pStyle w:val="Compact"/>
                    <w:jc w:val="center"/>
                  </w:pPr>
                  <w:r>
                    <w:t xml:space="preserve">174,596,497</w:t>
                  </w:r>
                </w:p>
              </w:tc>
            </w:tr>
            <w:tr>
              <w:tc>
                <w:tcPr/>
                <w:p>
                  <w:pPr>
                    <w:pStyle w:val="Compact"/>
                    <w:jc w:val="center"/>
                  </w:pPr>
                  <w:r>
                    <w:t xml:space="preserve">20</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SRR6502339</w:t>
                  </w:r>
                </w:p>
              </w:tc>
              <w:tc>
                <w:tcPr/>
                <w:p>
                  <w:pPr>
                    <w:pStyle w:val="Compact"/>
                    <w:jc w:val="center"/>
                  </w:pPr>
                  <w:r>
                    <w:t xml:space="preserve">10.207410</w:t>
                  </w:r>
                </w:p>
              </w:tc>
              <w:tc>
                <w:tcPr/>
                <w:p>
                  <w:pPr>
                    <w:pStyle w:val="Compact"/>
                    <w:jc w:val="center"/>
                  </w:pPr>
                  <w:r>
                    <w:t xml:space="preserve">28,885,941,600</w:t>
                  </w:r>
                </w:p>
              </w:tc>
              <w:tc>
                <w:tcPr/>
                <w:p>
                  <w:pPr>
                    <w:pStyle w:val="Compact"/>
                    <w:jc w:val="center"/>
                  </w:pPr>
                  <w:r>
                    <w:t xml:space="preserve">96,286,472</w:t>
                  </w:r>
                </w:p>
              </w:tc>
            </w:tr>
            <w:tr>
              <w:tc>
                <w:tcPr/>
                <w:p>
                  <w:pPr>
                    <w:pStyle w:val="Compact"/>
                    <w:jc w:val="center"/>
                  </w:pPr>
                  <w:r>
                    <w:t xml:space="preserve">9</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SRR7349189</w:t>
                  </w:r>
                </w:p>
              </w:tc>
              <w:tc>
                <w:tcPr/>
                <w:p>
                  <w:pPr>
                    <w:pStyle w:val="Compact"/>
                    <w:jc w:val="center"/>
                  </w:pPr>
                  <w:r>
                    <w:t xml:space="preserve">52.729173</w:t>
                  </w:r>
                </w:p>
              </w:tc>
              <w:tc>
                <w:tcPr/>
                <w:p>
                  <w:pPr>
                    <w:pStyle w:val="Compact"/>
                    <w:jc w:val="center"/>
                  </w:pPr>
                  <w:r>
                    <w:t xml:space="preserve">139,604,854,200</w:t>
                  </w:r>
                </w:p>
              </w:tc>
              <w:tc>
                <w:tcPr/>
                <w:p>
                  <w:pPr>
                    <w:pStyle w:val="Compact"/>
                    <w:jc w:val="center"/>
                  </w:pPr>
                  <w:r>
                    <w:t xml:space="preserve">465,349,514</w:t>
                  </w:r>
                </w:p>
              </w:tc>
            </w:tr>
            <w:tr>
              <w:tc>
                <w:tcPr/>
                <w:p>
                  <w:pPr>
                    <w:pStyle w:val="Compact"/>
                    <w:jc w:val="center"/>
                  </w:pPr>
                  <w:r>
                    <w:t xml:space="preserve">10</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SRR7349190</w:t>
                  </w:r>
                </w:p>
              </w:tc>
              <w:tc>
                <w:tcPr/>
                <w:p>
                  <w:pPr>
                    <w:pStyle w:val="Compact"/>
                    <w:jc w:val="center"/>
                  </w:pPr>
                  <w:r>
                    <w:t xml:space="preserve">53.085520</w:t>
                  </w:r>
                </w:p>
              </w:tc>
              <w:tc>
                <w:tcPr/>
                <w:p>
                  <w:pPr>
                    <w:pStyle w:val="Compact"/>
                    <w:jc w:val="center"/>
                  </w:pPr>
                  <w:r>
                    <w:t xml:space="preserve">142,008,353,400</w:t>
                  </w:r>
                </w:p>
              </w:tc>
              <w:tc>
                <w:tcPr/>
                <w:p>
                  <w:pPr>
                    <w:pStyle w:val="Compact"/>
                    <w:jc w:val="center"/>
                  </w:pPr>
                  <w:r>
                    <w:t xml:space="preserve">473,361,178</w:t>
                  </w:r>
                </w:p>
              </w:tc>
            </w:tr>
            <w:tr>
              <w:tc>
                <w:tcPr/>
                <w:p>
                  <w:pPr>
                    <w:pStyle w:val="Compact"/>
                    <w:jc w:val="center"/>
                  </w:pPr>
                  <w:r>
                    <w:t xml:space="preserve">21</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SRR6502342</w:t>
                  </w:r>
                </w:p>
              </w:tc>
              <w:tc>
                <w:tcPr/>
                <w:p>
                  <w:pPr>
                    <w:pStyle w:val="Compact"/>
                    <w:jc w:val="center"/>
                  </w:pPr>
                  <w:r>
                    <w:t xml:space="preserve">60.258880</w:t>
                  </w:r>
                </w:p>
              </w:tc>
              <w:tc>
                <w:tcPr/>
                <w:p>
                  <w:pPr>
                    <w:pStyle w:val="Compact"/>
                    <w:jc w:val="center"/>
                  </w:pPr>
                  <w:r>
                    <w:t xml:space="preserve">150,370,993,500</w:t>
                  </w:r>
                </w:p>
              </w:tc>
              <w:tc>
                <w:tcPr/>
                <w:p>
                  <w:pPr>
                    <w:pStyle w:val="Compact"/>
                    <w:jc w:val="center"/>
                  </w:pPr>
                  <w:r>
                    <w:t xml:space="preserve">501,236,645</w:t>
                  </w:r>
                </w:p>
              </w:tc>
            </w:tr>
            <w:tr>
              <w:tc>
                <w:tcPr/>
                <w:p>
                  <w:pPr>
                    <w:pStyle w:val="Compact"/>
                    <w:jc w:val="center"/>
                  </w:pPr>
                  <w:r>
                    <w:t xml:space="preserve">22</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SRR6502344</w:t>
                  </w:r>
                </w:p>
              </w:tc>
              <w:tc>
                <w:tcPr/>
                <w:p>
                  <w:pPr>
                    <w:pStyle w:val="Compact"/>
                    <w:jc w:val="center"/>
                  </w:pPr>
                  <w:r>
                    <w:t xml:space="preserve">27.146048</w:t>
                  </w:r>
                </w:p>
              </w:tc>
              <w:tc>
                <w:tcPr/>
                <w:p>
                  <w:pPr>
                    <w:pStyle w:val="Compact"/>
                    <w:jc w:val="center"/>
                  </w:pPr>
                  <w:r>
                    <w:t xml:space="preserve">65,697,684,300</w:t>
                  </w:r>
                </w:p>
              </w:tc>
              <w:tc>
                <w:tcPr/>
                <w:p>
                  <w:pPr>
                    <w:pStyle w:val="Compact"/>
                    <w:jc w:val="center"/>
                  </w:pPr>
                  <w:r>
                    <w:t xml:space="preserve">218,992,281</w:t>
                  </w:r>
                </w:p>
              </w:tc>
            </w:tr>
            <w:tr>
              <w:tc>
                <w:tcPr/>
                <w:p>
                  <w:pPr>
                    <w:pStyle w:val="Compact"/>
                    <w:jc w:val="center"/>
                  </w:pPr>
                  <w:r>
                    <w:t xml:space="preserve">23</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SRR6502345</w:t>
                  </w:r>
                </w:p>
              </w:tc>
              <w:tc>
                <w:tcPr/>
                <w:p>
                  <w:pPr>
                    <w:pStyle w:val="Compact"/>
                    <w:jc w:val="center"/>
                  </w:pPr>
                  <w:r>
                    <w:t xml:space="preserve">26.202707</w:t>
                  </w:r>
                </w:p>
              </w:tc>
              <w:tc>
                <w:tcPr/>
                <w:p>
                  <w:pPr>
                    <w:pStyle w:val="Compact"/>
                    <w:jc w:val="center"/>
                  </w:pPr>
                  <w:r>
                    <w:t xml:space="preserve">63,490,538,700</w:t>
                  </w:r>
                </w:p>
              </w:tc>
              <w:tc>
                <w:tcPr/>
                <w:p>
                  <w:pPr>
                    <w:pStyle w:val="Compact"/>
                    <w:jc w:val="center"/>
                  </w:pPr>
                  <w:r>
                    <w:t xml:space="preserve">211,635,129</w:t>
                  </w:r>
                </w:p>
              </w:tc>
            </w:tr>
            <w:tr>
              <w:tc>
                <w:tcPr/>
                <w:p>
                  <w:pPr>
                    <w:pStyle w:val="Compact"/>
                    <w:jc w:val="center"/>
                  </w:pPr>
                  <w:r>
                    <w:t xml:space="preserve">0</w:t>
                  </w:r>
                </w:p>
              </w:tc>
              <w:tc>
                <w:tcPr/>
                <w:p>
                  <w:pPr>
                    <w:pStyle w:val="Compact"/>
                    <w:jc w:val="center"/>
                  </w:pPr>
                  <w:r>
                    <w:t xml:space="preserve">pachytene spermatocyte</w:t>
                  </w:r>
                </w:p>
              </w:tc>
              <w:tc>
                <w:tcPr/>
                <w:p>
                  <w:pPr>
                    <w:pStyle w:val="Compact"/>
                    <w:jc w:val="center"/>
                  </w:pPr>
                  <w:r>
                    <w:t xml:space="preserve">SAMN09427370</w:t>
                  </w:r>
                </w:p>
              </w:tc>
              <w:tc>
                <w:tcPr/>
                <w:p>
                  <w:pPr>
                    <w:pStyle w:val="Compact"/>
                    <w:jc w:val="center"/>
                  </w:pPr>
                  <w:r>
                    <w:t xml:space="preserve">SRR7345458</w:t>
                  </w:r>
                </w:p>
              </w:tc>
              <w:tc>
                <w:tcPr/>
                <w:p>
                  <w:pPr>
                    <w:pStyle w:val="Compact"/>
                    <w:jc w:val="center"/>
                  </w:pPr>
                  <w:r>
                    <w:t xml:space="preserve">55.970557</w:t>
                  </w:r>
                </w:p>
              </w:tc>
              <w:tc>
                <w:tcPr/>
                <w:p>
                  <w:pPr>
                    <w:pStyle w:val="Compact"/>
                    <w:jc w:val="center"/>
                  </w:pPr>
                  <w:r>
                    <w:t xml:space="preserve">153,281,577,900</w:t>
                  </w:r>
                </w:p>
              </w:tc>
              <w:tc>
                <w:tcPr/>
                <w:p>
                  <w:pPr>
                    <w:pStyle w:val="Compact"/>
                    <w:jc w:val="center"/>
                  </w:pPr>
                  <w:r>
                    <w:t xml:space="preserve">510,938,593</w:t>
                  </w:r>
                </w:p>
              </w:tc>
            </w:tr>
            <w:tr>
              <w:tc>
                <w:tcPr/>
                <w:p>
                  <w:pPr>
                    <w:pStyle w:val="Compact"/>
                    <w:jc w:val="center"/>
                  </w:pPr>
                  <w:r>
                    <w:t xml:space="preserve">1</w:t>
                  </w:r>
                </w:p>
              </w:tc>
              <w:tc>
                <w:tcPr/>
                <w:p>
                  <w:pPr>
                    <w:pStyle w:val="Compact"/>
                    <w:jc w:val="center"/>
                  </w:pPr>
                  <w:r>
                    <w:t xml:space="preserve">pachytene spermatocyte</w:t>
                  </w:r>
                </w:p>
              </w:tc>
              <w:tc>
                <w:tcPr/>
                <w:p>
                  <w:pPr>
                    <w:pStyle w:val="Compact"/>
                    <w:jc w:val="center"/>
                  </w:pPr>
                  <w:r>
                    <w:t xml:space="preserve">SAMN09427370</w:t>
                  </w:r>
                </w:p>
              </w:tc>
              <w:tc>
                <w:tcPr/>
                <w:p>
                  <w:pPr>
                    <w:pStyle w:val="Compact"/>
                    <w:jc w:val="center"/>
                  </w:pPr>
                  <w:r>
                    <w:t xml:space="preserve">SRR7345459</w:t>
                  </w:r>
                </w:p>
              </w:tc>
              <w:tc>
                <w:tcPr/>
                <w:p>
                  <w:pPr>
                    <w:pStyle w:val="Compact"/>
                    <w:jc w:val="center"/>
                  </w:pPr>
                  <w:r>
                    <w:t xml:space="preserve">53.982492</w:t>
                  </w:r>
                </w:p>
              </w:tc>
              <w:tc>
                <w:tcPr/>
                <w:p>
                  <w:pPr>
                    <w:pStyle w:val="Compact"/>
                    <w:jc w:val="center"/>
                  </w:pPr>
                  <w:r>
                    <w:t xml:space="preserve">144,993,841,200</w:t>
                  </w:r>
                </w:p>
              </w:tc>
              <w:tc>
                <w:tcPr/>
                <w:p>
                  <w:pPr>
                    <w:pStyle w:val="Compact"/>
                    <w:jc w:val="center"/>
                  </w:pPr>
                  <w:r>
                    <w:t xml:space="preserve">483,312,804</w:t>
                  </w:r>
                </w:p>
              </w:tc>
            </w:tr>
            <w:tr>
              <w:tc>
                <w:tcPr/>
                <w:p>
                  <w:pPr>
                    <w:pStyle w:val="Compact"/>
                    <w:jc w:val="center"/>
                  </w:pPr>
                  <w:r>
                    <w:t xml:space="preserve">11</w:t>
                  </w:r>
                </w:p>
              </w:tc>
              <w:tc>
                <w:tcPr/>
                <w:p>
                  <w:pPr>
                    <w:pStyle w:val="Compact"/>
                    <w:jc w:val="center"/>
                  </w:pPr>
                  <w:r>
                    <w:t xml:space="preserve">pachytene spermatocyte</w:t>
                  </w:r>
                </w:p>
              </w:tc>
              <w:tc>
                <w:tcPr/>
                <w:p>
                  <w:pPr>
                    <w:pStyle w:val="Compact"/>
                    <w:jc w:val="center"/>
                  </w:pPr>
                  <w:r>
                    <w:t xml:space="preserve">SAMN08375235</w:t>
                  </w:r>
                </w:p>
              </w:tc>
              <w:tc>
                <w:tcPr/>
                <w:p>
                  <w:pPr>
                    <w:pStyle w:val="Compact"/>
                    <w:jc w:val="center"/>
                  </w:pPr>
                  <w:r>
                    <w:t xml:space="preserve">SRR7349191</w:t>
                  </w:r>
                </w:p>
              </w:tc>
              <w:tc>
                <w:tcPr/>
                <w:p>
                  <w:pPr>
                    <w:pStyle w:val="Compact"/>
                    <w:jc w:val="center"/>
                  </w:pPr>
                  <w:r>
                    <w:t xml:space="preserve">51.274476</w:t>
                  </w:r>
                </w:p>
              </w:tc>
              <w:tc>
                <w:tcPr/>
                <w:p>
                  <w:pPr>
                    <w:pStyle w:val="Compact"/>
                    <w:jc w:val="center"/>
                  </w:pPr>
                  <w:r>
                    <w:t xml:space="preserve">137,821,979,100</w:t>
                  </w:r>
                </w:p>
              </w:tc>
              <w:tc>
                <w:tcPr/>
                <w:p>
                  <w:pPr>
                    <w:pStyle w:val="Compact"/>
                    <w:jc w:val="center"/>
                  </w:pPr>
                  <w:r>
                    <w:t xml:space="preserve">459,406,597</w:t>
                  </w:r>
                </w:p>
              </w:tc>
            </w:tr>
            <w:tr>
              <w:tc>
                <w:tcPr/>
                <w:p>
                  <w:pPr>
                    <w:pStyle w:val="Compact"/>
                    <w:jc w:val="center"/>
                  </w:pPr>
                  <w:r>
                    <w:t xml:space="preserve">24</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SRR6502351</w:t>
                  </w:r>
                </w:p>
              </w:tc>
              <w:tc>
                <w:tcPr/>
                <w:p>
                  <w:pPr>
                    <w:pStyle w:val="Compact"/>
                    <w:jc w:val="center"/>
                  </w:pPr>
                  <w:r>
                    <w:t xml:space="preserve">20.924497</w:t>
                  </w:r>
                </w:p>
              </w:tc>
              <w:tc>
                <w:tcPr/>
                <w:p>
                  <w:pPr>
                    <w:pStyle w:val="Compact"/>
                    <w:jc w:val="center"/>
                  </w:pPr>
                  <w:r>
                    <w:t xml:space="preserve">55,095,075,300</w:t>
                  </w:r>
                </w:p>
              </w:tc>
              <w:tc>
                <w:tcPr/>
                <w:p>
                  <w:pPr>
                    <w:pStyle w:val="Compact"/>
                    <w:jc w:val="center"/>
                  </w:pPr>
                  <w:r>
                    <w:t xml:space="preserve">183,650,251</w:t>
                  </w:r>
                </w:p>
              </w:tc>
            </w:tr>
            <w:tr>
              <w:tc>
                <w:tcPr/>
                <w:p>
                  <w:pPr>
                    <w:pStyle w:val="Compact"/>
                    <w:jc w:val="center"/>
                  </w:pPr>
                  <w:r>
                    <w:t xml:space="preserve">25</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SRR6502352</w:t>
                  </w:r>
                </w:p>
              </w:tc>
              <w:tc>
                <w:tcPr/>
                <w:p>
                  <w:pPr>
                    <w:pStyle w:val="Compact"/>
                    <w:jc w:val="center"/>
                  </w:pPr>
                  <w:r>
                    <w:t xml:space="preserve">41.133960</w:t>
                  </w:r>
                </w:p>
              </w:tc>
              <w:tc>
                <w:tcPr/>
                <w:p>
                  <w:pPr>
                    <w:pStyle w:val="Compact"/>
                    <w:jc w:val="center"/>
                  </w:pPr>
                  <w:r>
                    <w:t xml:space="preserve">115,578,475,800</w:t>
                  </w:r>
                </w:p>
              </w:tc>
              <w:tc>
                <w:tcPr/>
                <w:p>
                  <w:pPr>
                    <w:pStyle w:val="Compact"/>
                    <w:jc w:val="center"/>
                  </w:pPr>
                  <w:r>
                    <w:t xml:space="preserve">385,261,586</w:t>
                  </w:r>
                </w:p>
              </w:tc>
            </w:tr>
            <w:tr>
              <w:tc>
                <w:tcPr/>
                <w:p>
                  <w:pPr>
                    <w:pStyle w:val="Compact"/>
                    <w:jc w:val="center"/>
                  </w:pPr>
                  <w:r>
                    <w:t xml:space="preserve">26</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SRR6502353</w:t>
                  </w:r>
                </w:p>
              </w:tc>
              <w:tc>
                <w:tcPr/>
                <w:p>
                  <w:pPr>
                    <w:pStyle w:val="Compact"/>
                    <w:jc w:val="center"/>
                  </w:pPr>
                  <w:r>
                    <w:t xml:space="preserve">36.444117</w:t>
                  </w:r>
                </w:p>
              </w:tc>
              <w:tc>
                <w:tcPr/>
                <w:p>
                  <w:pPr>
                    <w:pStyle w:val="Compact"/>
                    <w:jc w:val="center"/>
                  </w:pPr>
                  <w:r>
                    <w:t xml:space="preserve">96,195,161,400</w:t>
                  </w:r>
                </w:p>
              </w:tc>
              <w:tc>
                <w:tcPr/>
                <w:p>
                  <w:pPr>
                    <w:pStyle w:val="Compact"/>
                    <w:jc w:val="center"/>
                  </w:pPr>
                  <w:r>
                    <w:t xml:space="preserve">320,650,538</w:t>
                  </w:r>
                </w:p>
              </w:tc>
            </w:tr>
            <w:tr>
              <w:tc>
                <w:tcPr/>
                <w:p>
                  <w:pPr>
                    <w:pStyle w:val="Compact"/>
                    <w:jc w:val="center"/>
                  </w:pPr>
                  <w:r>
                    <w:t xml:space="preserve">2</w:t>
                  </w:r>
                </w:p>
              </w:tc>
              <w:tc>
                <w:tcPr/>
                <w:p>
                  <w:pPr>
                    <w:pStyle w:val="Compact"/>
                    <w:jc w:val="center"/>
                  </w:pPr>
                  <w:r>
                    <w:t xml:space="preserve">round spermatid</w:t>
                  </w:r>
                </w:p>
              </w:tc>
              <w:tc>
                <w:tcPr/>
                <w:p>
                  <w:pPr>
                    <w:pStyle w:val="Compact"/>
                    <w:jc w:val="center"/>
                  </w:pPr>
                  <w:r>
                    <w:t xml:space="preserve">SAMN09427369</w:t>
                  </w:r>
                </w:p>
              </w:tc>
              <w:tc>
                <w:tcPr/>
                <w:p>
                  <w:pPr>
                    <w:pStyle w:val="Compact"/>
                    <w:jc w:val="center"/>
                  </w:pPr>
                  <w:r>
                    <w:t xml:space="preserve">SRR7345460</w:t>
                  </w:r>
                </w:p>
              </w:tc>
              <w:tc>
                <w:tcPr/>
                <w:p>
                  <w:pPr>
                    <w:pStyle w:val="Compact"/>
                    <w:jc w:val="center"/>
                  </w:pPr>
                  <w:r>
                    <w:t xml:space="preserve">38.244654</w:t>
                  </w:r>
                </w:p>
              </w:tc>
              <w:tc>
                <w:tcPr/>
                <w:p>
                  <w:pPr>
                    <w:pStyle w:val="Compact"/>
                    <w:jc w:val="center"/>
                  </w:pPr>
                  <w:r>
                    <w:t xml:space="preserve">104,105,827,200</w:t>
                  </w:r>
                </w:p>
              </w:tc>
              <w:tc>
                <w:tcPr/>
                <w:p>
                  <w:pPr>
                    <w:pStyle w:val="Compact"/>
                    <w:jc w:val="center"/>
                  </w:pPr>
                  <w:r>
                    <w:t xml:space="preserve">347,019,424</w:t>
                  </w:r>
                </w:p>
              </w:tc>
            </w:tr>
            <w:tr>
              <w:tc>
                <w:tcPr/>
                <w:p>
                  <w:pPr>
                    <w:pStyle w:val="Compact"/>
                    <w:jc w:val="center"/>
                  </w:pPr>
                  <w:r>
                    <w:t xml:space="preserve">3</w:t>
                  </w:r>
                </w:p>
              </w:tc>
              <w:tc>
                <w:tcPr/>
                <w:p>
                  <w:pPr>
                    <w:pStyle w:val="Compact"/>
                    <w:jc w:val="center"/>
                  </w:pPr>
                  <w:r>
                    <w:t xml:space="preserve">round spermatid</w:t>
                  </w:r>
                </w:p>
              </w:tc>
              <w:tc>
                <w:tcPr/>
                <w:p>
                  <w:pPr>
                    <w:pStyle w:val="Compact"/>
                    <w:jc w:val="center"/>
                  </w:pPr>
                  <w:r>
                    <w:t xml:space="preserve">SAMN09427369</w:t>
                  </w:r>
                </w:p>
              </w:tc>
              <w:tc>
                <w:tcPr/>
                <w:p>
                  <w:pPr>
                    <w:pStyle w:val="Compact"/>
                    <w:jc w:val="center"/>
                  </w:pPr>
                  <w:r>
                    <w:t xml:space="preserve">SRR7345461</w:t>
                  </w:r>
                </w:p>
              </w:tc>
              <w:tc>
                <w:tcPr/>
                <w:p>
                  <w:pPr>
                    <w:pStyle w:val="Compact"/>
                    <w:jc w:val="center"/>
                  </w:pPr>
                  <w:r>
                    <w:t xml:space="preserve">53.996261</w:t>
                  </w:r>
                </w:p>
              </w:tc>
              <w:tc>
                <w:tcPr/>
                <w:p>
                  <w:pPr>
                    <w:pStyle w:val="Compact"/>
                    <w:jc w:val="center"/>
                  </w:pPr>
                  <w:r>
                    <w:t xml:space="preserve">144,532,309,500</w:t>
                  </w:r>
                </w:p>
              </w:tc>
              <w:tc>
                <w:tcPr/>
                <w:p>
                  <w:pPr>
                    <w:pStyle w:val="Compact"/>
                    <w:jc w:val="center"/>
                  </w:pPr>
                  <w:r>
                    <w:t xml:space="preserve">481,774,365</w:t>
                  </w:r>
                </w:p>
              </w:tc>
            </w:tr>
            <w:tr>
              <w:tc>
                <w:tcPr/>
                <w:p>
                  <w:pPr>
                    <w:pStyle w:val="Compact"/>
                    <w:jc w:val="center"/>
                  </w:pPr>
                  <w:r>
                    <w:t xml:space="preserve">12</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SRR7349192</w:t>
                  </w:r>
                </w:p>
              </w:tc>
              <w:tc>
                <w:tcPr/>
                <w:p>
                  <w:pPr>
                    <w:pStyle w:val="Compact"/>
                    <w:jc w:val="center"/>
                  </w:pPr>
                  <w:r>
                    <w:t xml:space="preserve">52.384556</w:t>
                  </w:r>
                </w:p>
              </w:tc>
              <w:tc>
                <w:tcPr/>
                <w:p>
                  <w:pPr>
                    <w:pStyle w:val="Compact"/>
                    <w:jc w:val="center"/>
                  </w:pPr>
                  <w:r>
                    <w:t xml:space="preserve">140,431,608,000</w:t>
                  </w:r>
                </w:p>
              </w:tc>
              <w:tc>
                <w:tcPr/>
                <w:p>
                  <w:pPr>
                    <w:pStyle w:val="Compact"/>
                    <w:jc w:val="center"/>
                  </w:pPr>
                  <w:r>
                    <w:t xml:space="preserve">468,105,360</w:t>
                  </w:r>
                </w:p>
              </w:tc>
            </w:tr>
            <w:tr>
              <w:tc>
                <w:tcPr/>
                <w:p>
                  <w:pPr>
                    <w:pStyle w:val="Compact"/>
                    <w:jc w:val="center"/>
                  </w:pPr>
                  <w:r>
                    <w:t xml:space="preserve">29</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SRR6502360</w:t>
                  </w:r>
                </w:p>
              </w:tc>
              <w:tc>
                <w:tcPr/>
                <w:p>
                  <w:pPr>
                    <w:pStyle w:val="Compact"/>
                    <w:jc w:val="center"/>
                  </w:pPr>
                  <w:r>
                    <w:t xml:space="preserve">26.653940</w:t>
                  </w:r>
                </w:p>
              </w:tc>
              <w:tc>
                <w:tcPr/>
                <w:p>
                  <w:pPr>
                    <w:pStyle w:val="Compact"/>
                    <w:jc w:val="center"/>
                  </w:pPr>
                  <w:r>
                    <w:t xml:space="preserve">64,752,370,800</w:t>
                  </w:r>
                </w:p>
              </w:tc>
              <w:tc>
                <w:tcPr/>
                <w:p>
                  <w:pPr>
                    <w:pStyle w:val="Compact"/>
                    <w:jc w:val="center"/>
                  </w:pPr>
                  <w:r>
                    <w:t xml:space="preserve">215,841,236</w:t>
                  </w:r>
                </w:p>
              </w:tc>
            </w:tr>
            <w:tr>
              <w:tc>
                <w:tcPr/>
                <w:p>
                  <w:pPr>
                    <w:pStyle w:val="Compact"/>
                    <w:jc w:val="center"/>
                  </w:pPr>
                  <w:r>
                    <w:t xml:space="preserve">30</w:t>
                  </w:r>
                </w:p>
              </w:tc>
              <w:tc>
                <w:tcPr/>
                <w:p>
                  <w:pPr>
                    <w:pStyle w:val="Compact"/>
                    <w:jc w:val="center"/>
                  </w:pPr>
                  <w:r>
                    <w:t xml:space="preserve">sperm</w:t>
                  </w:r>
                </w:p>
              </w:tc>
              <w:tc>
                <w:tcPr/>
                <w:p>
                  <w:pPr>
                    <w:pStyle w:val="Compact"/>
                    <w:jc w:val="center"/>
                  </w:pPr>
                  <w:r>
                    <w:t xml:space="preserve">SAMN08375228</w:t>
                  </w:r>
                </w:p>
              </w:tc>
              <w:tc>
                <w:tcPr/>
                <w:p>
                  <w:pPr>
                    <w:pStyle w:val="Compact"/>
                    <w:jc w:val="center"/>
                  </w:pPr>
                  <w:r>
                    <w:t xml:space="preserve">SRR6502362</w:t>
                  </w:r>
                </w:p>
              </w:tc>
              <w:tc>
                <w:tcPr/>
                <w:p>
                  <w:pPr>
                    <w:pStyle w:val="Compact"/>
                    <w:jc w:val="center"/>
                  </w:pPr>
                  <w:r>
                    <w:t xml:space="preserve">23.973440</w:t>
                  </w:r>
                </w:p>
              </w:tc>
              <w:tc>
                <w:tcPr/>
                <w:p>
                  <w:pPr>
                    <w:pStyle w:val="Compact"/>
                    <w:jc w:val="center"/>
                  </w:pPr>
                  <w:r>
                    <w:t xml:space="preserve">58,369,232,700</w:t>
                  </w:r>
                </w:p>
              </w:tc>
              <w:tc>
                <w:tcPr/>
                <w:p>
                  <w:pPr>
                    <w:pStyle w:val="Compact"/>
                    <w:jc w:val="center"/>
                  </w:pPr>
                  <w:r>
                    <w:t xml:space="preserve">194,564,109</w:t>
                  </w:r>
                </w:p>
              </w:tc>
            </w:tr>
            <w:tr>
              <w:tc>
                <w:tcPr/>
                <w:p>
                  <w:pPr>
                    <w:pStyle w:val="Compact"/>
                    <w:jc w:val="center"/>
                  </w:pPr>
                  <w:r>
                    <w:t xml:space="preserve">13</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SRR7349193</w:t>
                  </w:r>
                </w:p>
              </w:tc>
              <w:tc>
                <w:tcPr/>
                <w:p>
                  <w:pPr>
                    <w:pStyle w:val="Compact"/>
                    <w:jc w:val="center"/>
                  </w:pPr>
                  <w:r>
                    <w:t xml:space="preserve">52.806276</w:t>
                  </w:r>
                </w:p>
              </w:tc>
              <w:tc>
                <w:tcPr/>
                <w:p>
                  <w:pPr>
                    <w:pStyle w:val="Compact"/>
                    <w:jc w:val="center"/>
                  </w:pPr>
                  <w:r>
                    <w:t xml:space="preserve">141,148,572,300</w:t>
                  </w:r>
                </w:p>
              </w:tc>
              <w:tc>
                <w:tcPr/>
                <w:p>
                  <w:pPr>
                    <w:pStyle w:val="Compact"/>
                    <w:jc w:val="center"/>
                  </w:pPr>
                  <w:r>
                    <w:t xml:space="preserve">470,495,241</w:t>
                  </w:r>
                </w:p>
              </w:tc>
            </w:tr>
            <w:tr>
              <w:tc>
                <w:tcPr/>
                <w:p>
                  <w:pPr>
                    <w:pStyle w:val="Compact"/>
                    <w:jc w:val="center"/>
                  </w:pPr>
                  <w:r>
                    <w:t xml:space="preserve">14</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SRR7349195</w:t>
                  </w:r>
                </w:p>
              </w:tc>
              <w:tc>
                <w:tcPr/>
                <w:p>
                  <w:pPr>
                    <w:pStyle w:val="Compact"/>
                    <w:jc w:val="center"/>
                  </w:pPr>
                  <w:r>
                    <w:t xml:space="preserve">22.444378</w:t>
                  </w:r>
                </w:p>
              </w:tc>
              <w:tc>
                <w:tcPr/>
                <w:p>
                  <w:pPr>
                    <w:pStyle w:val="Compact"/>
                    <w:jc w:val="center"/>
                  </w:pPr>
                  <w:r>
                    <w:t xml:space="preserve">60,523,788,600</w:t>
                  </w:r>
                </w:p>
              </w:tc>
              <w:tc>
                <w:tcPr/>
                <w:p>
                  <w:pPr>
                    <w:pStyle w:val="Compact"/>
                    <w:jc w:val="center"/>
                  </w:pPr>
                  <w:r>
                    <w:t xml:space="preserve">201,745,962</w:t>
                  </w:r>
                </w:p>
              </w:tc>
            </w:tr>
            <w:tr>
              <w:tc>
                <w:tcPr/>
                <w:p>
                  <w:pPr>
                    <w:pStyle w:val="Compact"/>
                    <w:jc w:val="center"/>
                  </w:pPr>
                  <w:r>
                    <w:t xml:space="preserve">15</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SRR7349196</w:t>
                  </w:r>
                </w:p>
              </w:tc>
              <w:tc>
                <w:tcPr/>
                <w:p>
                  <w:pPr>
                    <w:pStyle w:val="Compact"/>
                    <w:jc w:val="center"/>
                  </w:pPr>
                  <w:r>
                    <w:t xml:space="preserve">38.253606</w:t>
                  </w:r>
                </w:p>
              </w:tc>
              <w:tc>
                <w:tcPr/>
                <w:p>
                  <w:pPr>
                    <w:pStyle w:val="Compact"/>
                    <w:jc w:val="center"/>
                  </w:pPr>
                  <w:r>
                    <w:t xml:space="preserve">104,119,671,000</w:t>
                  </w:r>
                </w:p>
              </w:tc>
              <w:tc>
                <w:tcPr/>
                <w:p>
                  <w:pPr>
                    <w:pStyle w:val="Compact"/>
                    <w:jc w:val="center"/>
                  </w:pPr>
                  <w:r>
                    <w:t xml:space="preserve">347,065,570</w:t>
                  </w:r>
                </w:p>
              </w:tc>
            </w:tr>
            <w:tr>
              <w:tc>
                <w:tcPr/>
                <w:p>
                  <w:pPr>
                    <w:pStyle w:val="Compact"/>
                    <w:jc w:val="center"/>
                  </w:pPr>
                  <w:r>
                    <w:t xml:space="preserve">27</w:t>
                  </w:r>
                </w:p>
              </w:tc>
              <w:tc>
                <w:tcPr/>
                <w:p>
                  <w:pPr>
                    <w:pStyle w:val="Compact"/>
                    <w:jc w:val="center"/>
                  </w:pPr>
                  <w:r>
                    <w:t xml:space="preserve">spermatogonia</w:t>
                  </w:r>
                </w:p>
              </w:tc>
              <w:tc>
                <w:tcPr/>
                <w:p>
                  <w:pPr>
                    <w:pStyle w:val="Compact"/>
                    <w:jc w:val="center"/>
                  </w:pPr>
                  <w:r>
                    <w:t xml:space="preserve">SAMN08375231</w:t>
                  </w:r>
                </w:p>
              </w:tc>
              <w:tc>
                <w:tcPr/>
                <w:p>
                  <w:pPr>
                    <w:pStyle w:val="Compact"/>
                    <w:jc w:val="center"/>
                  </w:pPr>
                  <w:r>
                    <w:t xml:space="preserve">SRR6502356</w:t>
                  </w:r>
                </w:p>
              </w:tc>
              <w:tc>
                <w:tcPr/>
                <w:p>
                  <w:pPr>
                    <w:pStyle w:val="Compact"/>
                    <w:jc w:val="center"/>
                  </w:pPr>
                  <w:r>
                    <w:t xml:space="preserve">22.845286</w:t>
                  </w:r>
                </w:p>
              </w:tc>
              <w:tc>
                <w:tcPr/>
                <w:p>
                  <w:pPr>
                    <w:pStyle w:val="Compact"/>
                    <w:jc w:val="center"/>
                  </w:pPr>
                  <w:r>
                    <w:t xml:space="preserve">58,909,579,800</w:t>
                  </w:r>
                </w:p>
              </w:tc>
              <w:tc>
                <w:tcPr/>
                <w:p>
                  <w:pPr>
                    <w:pStyle w:val="Compact"/>
                    <w:jc w:val="center"/>
                  </w:pPr>
                  <w:r>
                    <w:t xml:space="preserve">196,365,266</w:t>
                  </w:r>
                </w:p>
              </w:tc>
            </w:tr>
            <w:tr>
              <w:tc>
                <w:tcPr/>
                <w:p>
                  <w:pPr>
                    <w:pStyle w:val="Compact"/>
                    <w:jc w:val="center"/>
                  </w:pPr>
                  <w:r>
                    <w:t xml:space="preserve">28</w:t>
                  </w:r>
                </w:p>
              </w:tc>
              <w:tc>
                <w:tcPr/>
                <w:p>
                  <w:pPr>
                    <w:pStyle w:val="Compact"/>
                    <w:jc w:val="center"/>
                  </w:pPr>
                  <w:r>
                    <w:t xml:space="preserve">spermatogonia</w:t>
                  </w:r>
                </w:p>
              </w:tc>
              <w:tc>
                <w:tcPr/>
                <w:p>
                  <w:pPr>
                    <w:pStyle w:val="Compact"/>
                    <w:jc w:val="center"/>
                  </w:pPr>
                  <w:r>
                    <w:t xml:space="preserve">SAMN08375231</w:t>
                  </w:r>
                </w:p>
              </w:tc>
              <w:tc>
                <w:tcPr/>
                <w:p>
                  <w:pPr>
                    <w:pStyle w:val="Compact"/>
                    <w:jc w:val="center"/>
                  </w:pPr>
                  <w:r>
                    <w:t xml:space="preserve">SRR6502357</w:t>
                  </w:r>
                </w:p>
              </w:tc>
              <w:tc>
                <w:tcPr/>
                <w:p>
                  <w:pPr>
                    <w:pStyle w:val="Compact"/>
                    <w:jc w:val="center"/>
                  </w:pPr>
                  <w:r>
                    <w:t xml:space="preserve">17.947471</w:t>
                  </w:r>
                </w:p>
              </w:tc>
              <w:tc>
                <w:tcPr/>
                <w:p>
                  <w:pPr>
                    <w:pStyle w:val="Compact"/>
                    <w:jc w:val="center"/>
                  </w:pPr>
                  <w:r>
                    <w:t xml:space="preserve">46,888,332,900</w:t>
                  </w:r>
                </w:p>
              </w:tc>
              <w:tc>
                <w:tcPr/>
                <w:p>
                  <w:pPr>
                    <w:pStyle w:val="Compact"/>
                    <w:jc w:val="center"/>
                  </w:pPr>
                  <w:r>
                    <w:t xml:space="preserve">156,294,443</w:t>
                  </w:r>
                </w:p>
              </w:tc>
            </w:tr>
            <w:tr>
              <w:tc>
                <w:tcPr/>
                <w:p>
                  <w:pPr>
                    <w:pStyle w:val="Compact"/>
                    <w:jc w:val="center"/>
                  </w:pPr>
                  <w:r>
                    <w:t xml:space="preserve">4</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SRR7345462</w:t>
                  </w:r>
                </w:p>
              </w:tc>
              <w:tc>
                <w:tcPr/>
                <w:p>
                  <w:pPr>
                    <w:pStyle w:val="Compact"/>
                    <w:jc w:val="center"/>
                  </w:pPr>
                  <w:r>
                    <w:t xml:space="preserve">18.686342</w:t>
                  </w:r>
                </w:p>
              </w:tc>
              <w:tc>
                <w:tcPr/>
                <w:p>
                  <w:pPr>
                    <w:pStyle w:val="Compact"/>
                    <w:jc w:val="center"/>
                  </w:pPr>
                  <w:r>
                    <w:t xml:space="preserve">52,032,780,000</w:t>
                  </w:r>
                </w:p>
              </w:tc>
              <w:tc>
                <w:tcPr/>
                <w:p>
                  <w:pPr>
                    <w:pStyle w:val="Compact"/>
                    <w:jc w:val="center"/>
                  </w:pPr>
                  <w:r>
                    <w:t xml:space="preserve">173,442,600</w:t>
                  </w:r>
                </w:p>
              </w:tc>
            </w:tr>
            <w:tr>
              <w:tc>
                <w:tcPr/>
                <w:p>
                  <w:pPr>
                    <w:pStyle w:val="Compact"/>
                    <w:jc w:val="center"/>
                  </w:pPr>
                  <w:r>
                    <w:t xml:space="preserve">5</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SRR7345463</w:t>
                  </w:r>
                </w:p>
              </w:tc>
              <w:tc>
                <w:tcPr/>
                <w:p>
                  <w:pPr>
                    <w:pStyle w:val="Compact"/>
                    <w:jc w:val="center"/>
                  </w:pPr>
                  <w:r>
                    <w:t xml:space="preserve">29.956561</w:t>
                  </w:r>
                </w:p>
              </w:tc>
              <w:tc>
                <w:tcPr/>
                <w:p>
                  <w:pPr>
                    <w:pStyle w:val="Compact"/>
                    <w:jc w:val="center"/>
                  </w:pPr>
                  <w:r>
                    <w:t xml:space="preserve">82,384,836,000</w:t>
                  </w:r>
                </w:p>
              </w:tc>
              <w:tc>
                <w:tcPr/>
                <w:p>
                  <w:pPr>
                    <w:pStyle w:val="Compact"/>
                    <w:jc w:val="center"/>
                  </w:pPr>
                  <w:r>
                    <w:t xml:space="preserve">274,616,120</w:t>
                  </w:r>
                </w:p>
              </w:tc>
            </w:tr>
            <w:tr>
              <w:tc>
                <w:tcPr/>
                <w:p>
                  <w:pPr>
                    <w:pStyle w:val="Compact"/>
                    <w:jc w:val="center"/>
                  </w:pPr>
                  <w:r>
                    <w:t xml:space="preserve">6</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SRR7345464</w:t>
                  </w:r>
                </w:p>
              </w:tc>
              <w:tc>
                <w:tcPr/>
                <w:p>
                  <w:pPr>
                    <w:pStyle w:val="Compact"/>
                    <w:jc w:val="center"/>
                  </w:pPr>
                  <w:r>
                    <w:t xml:space="preserve">39.145759</w:t>
                  </w:r>
                </w:p>
              </w:tc>
              <w:tc>
                <w:tcPr/>
                <w:p>
                  <w:pPr>
                    <w:pStyle w:val="Compact"/>
                    <w:jc w:val="center"/>
                  </w:pPr>
                  <w:r>
                    <w:t xml:space="preserve">105,153,716,100</w:t>
                  </w:r>
                </w:p>
              </w:tc>
              <w:tc>
                <w:tcPr/>
                <w:p>
                  <w:pPr>
                    <w:pStyle w:val="Compact"/>
                    <w:jc w:val="center"/>
                  </w:pPr>
                  <w:r>
                    <w:t xml:space="preserve">350,512,387</w:t>
                  </w:r>
                </w:p>
              </w:tc>
            </w:tr>
            <w:tr>
              <w:tc>
                <w:tcPr/>
                <w:p>
                  <w:pPr>
                    <w:pStyle w:val="Compact"/>
                    <w:jc w:val="center"/>
                  </w:pPr>
                  <w:r>
                    <w:t xml:space="preserve">7</w:t>
                  </w:r>
                </w:p>
              </w:tc>
              <w:tc>
                <w:tcPr/>
                <w:p>
                  <w:pPr>
                    <w:pStyle w:val="Compact"/>
                    <w:jc w:val="center"/>
                  </w:pPr>
                  <w:r>
                    <w:t xml:space="preserve">spermatogonia</w:t>
                  </w:r>
                </w:p>
              </w:tc>
              <w:tc>
                <w:tcPr/>
                <w:p>
                  <w:pPr>
                    <w:pStyle w:val="Compact"/>
                    <w:jc w:val="center"/>
                  </w:pPr>
                  <w:r>
                    <w:t xml:space="preserve">SAMN09427378</w:t>
                  </w:r>
                </w:p>
              </w:tc>
              <w:tc>
                <w:tcPr/>
                <w:p>
                  <w:pPr>
                    <w:pStyle w:val="Compact"/>
                    <w:jc w:val="center"/>
                  </w:pPr>
                  <w:r>
                    <w:t xml:space="preserve">SRR7345465</w:t>
                  </w:r>
                </w:p>
              </w:tc>
              <w:tc>
                <w:tcPr/>
                <w:p>
                  <w:pPr>
                    <w:pStyle w:val="Compact"/>
                    <w:jc w:val="center"/>
                  </w:pPr>
                  <w:r>
                    <w:t xml:space="preserve">35.816184</w:t>
                  </w:r>
                </w:p>
              </w:tc>
              <w:tc>
                <w:tcPr/>
                <w:p>
                  <w:pPr>
                    <w:pStyle w:val="Compact"/>
                    <w:jc w:val="center"/>
                  </w:pPr>
                  <w:r>
                    <w:t xml:space="preserve">96,048,594,600</w:t>
                  </w:r>
                </w:p>
              </w:tc>
              <w:tc>
                <w:tcPr/>
                <w:p>
                  <w:pPr>
                    <w:pStyle w:val="Compact"/>
                    <w:jc w:val="center"/>
                  </w:pPr>
                  <w:r>
                    <w:t xml:space="preserve">320,161,982</w:t>
                  </w:r>
                </w:p>
              </w:tc>
            </w:tr>
            <w:tr>
              <w:tc>
                <w:tcPr/>
                <w:p>
                  <w:pPr>
                    <w:pStyle w:val="Compact"/>
                    <w:jc w:val="center"/>
                  </w:pPr>
                  <w:r>
                    <w:t xml:space="preserve">8</w:t>
                  </w:r>
                </w:p>
              </w:tc>
              <w:tc>
                <w:tcPr/>
                <w:p>
                  <w:pPr>
                    <w:pStyle w:val="Compact"/>
                    <w:jc w:val="center"/>
                  </w:pPr>
                  <w:r>
                    <w:t xml:space="preserve">spermatogonia</w:t>
                  </w:r>
                </w:p>
              </w:tc>
              <w:tc>
                <w:tcPr/>
                <w:p>
                  <w:pPr>
                    <w:pStyle w:val="Compact"/>
                    <w:jc w:val="center"/>
                  </w:pPr>
                  <w:r>
                    <w:t xml:space="preserve">SAMN09427378</w:t>
                  </w:r>
                </w:p>
              </w:tc>
              <w:tc>
                <w:tcPr/>
                <w:p>
                  <w:pPr>
                    <w:pStyle w:val="Compact"/>
                    <w:jc w:val="center"/>
                  </w:pPr>
                  <w:r>
                    <w:t xml:space="preserve">SRR7345467</w:t>
                  </w:r>
                </w:p>
              </w:tc>
              <w:tc>
                <w:tcPr/>
                <w:p>
                  <w:pPr>
                    <w:pStyle w:val="Compact"/>
                    <w:jc w:val="center"/>
                  </w:pPr>
                  <w:r>
                    <w:t xml:space="preserve">28.396816</w:t>
                  </w:r>
                </w:p>
              </w:tc>
              <w:tc>
                <w:tcPr/>
                <w:p>
                  <w:pPr>
                    <w:pStyle w:val="Compact"/>
                    <w:jc w:val="center"/>
                  </w:pPr>
                  <w:r>
                    <w:t xml:space="preserve">77,248,140,900</w:t>
                  </w:r>
                </w:p>
              </w:tc>
              <w:tc>
                <w:tcPr/>
                <w:p>
                  <w:pPr>
                    <w:pStyle w:val="Compact"/>
                    <w:jc w:val="center"/>
                  </w:pPr>
                  <w:r>
                    <w:t xml:space="preserve">257,493,803</w:t>
                  </w:r>
                </w:p>
              </w:tc>
            </w:tr>
          </w:tbl>
          <w:bookmarkEnd w:id="24"/>
          <w:bookmarkEnd w:id="25"/>
          <w:p/>
        </w:tc>
      </w:tr>
    </w:tbl>
    <w:bookmarkEnd w:id="26"/>
    <w:bookmarkStart w:id="39" w:name="handling-coolers-or-preparing-coolers"/>
    <w:p>
      <w:pPr>
        <w:pStyle w:val="Heading3"/>
      </w:pPr>
      <w:r>
        <w:t xml:space="preserve">Handling coolers (Or: preparing coolers)</w:t>
      </w:r>
    </w:p>
    <w:tbl>
      <w:tblPr>
        <w:tblStyle w:val="Table"/>
        <w:tblW w:type="pct" w:w="5000"/>
        <w:tblLayout w:type="fixed"/>
        <w:tblLook w:firstRow="0" w:lastRow="0" w:firstColumn="0" w:lastColumn="0" w:noHBand="0" w:noVBand="0" w:val="0000"/>
      </w:tblPr>
      <w:tblGrid>
        <w:gridCol w:w="7920"/>
      </w:tblGrid>
      <w:tr>
        <w:tc>
          <w:tcPr/>
          <w:bookmarkStart w:id="27" w:name="fig-flowchart-handling-coolers"/>
          <w:p>
            <w:pPr>
              <w:pStyle w:val="Compact"/>
              <w:jc w:val="center"/>
            </w:pPr>
            <w:r>
              <w:rPr>
                <w:b/>
                <w:bCs/>
                <w:i/>
                <w:iCs/>
              </w:rPr>
              <w:t xml:space="preserve">[A flowchart showing the pipeline from</w:t>
            </w:r>
            <w:r>
              <w:rPr>
                <w:b/>
                <w:bCs/>
                <w:i/>
                <w:iCs/>
              </w:rPr>
              <w:t xml:space="preserve"> </w:t>
            </w:r>
            <w:r>
              <w:rPr>
                <w:rStyle w:val="VerbatimChar"/>
                <w:b/>
                <w:bCs/>
                <w:i/>
                <w:iCs/>
              </w:rPr>
              <w:t xml:space="preserve">.fastq</w:t>
            </w:r>
            <w:r>
              <w:rPr>
                <w:b/>
                <w:bCs/>
                <w:i/>
                <w:iCs/>
              </w:rPr>
              <w:t xml:space="preserve"> </w:t>
            </w:r>
            <w:r>
              <w:rPr>
                <w:b/>
                <w:bCs/>
                <w:i/>
                <w:iCs/>
              </w:rPr>
              <w:t xml:space="preserve">to</w:t>
            </w:r>
            <w:r>
              <w:rPr>
                <w:b/>
                <w:bCs/>
                <w:i/>
                <w:iCs/>
              </w:rPr>
              <w:t xml:space="preserve"> </w:t>
            </w:r>
            <w:r>
              <w:rPr>
                <w:rStyle w:val="VerbatimChar"/>
                <w:b/>
                <w:bCs/>
                <w:i/>
                <w:iCs/>
              </w:rPr>
              <w:t xml:space="preserve">.mcool</w:t>
            </w:r>
            <w:r>
              <w:rPr>
                <w:b/>
                <w:bCs/>
                <w:i/>
                <w:iCs/>
              </w:rPr>
              <w:t xml:space="preserve">. The first 6 steps were done with a Probably BioRender or Inkscape.]</w:t>
            </w:r>
          </w:p>
          <w:p>
            <w:pPr>
              <w:jc w:val="center"/>
            </w:pPr>
            <w:pPr>
              <w:jc w:val="start"/>
              <w:spacing w:before="200"/>
              <w:pStyle w:val="ImageCaption"/>
            </w:pPr>
            <w:r>
              <w:t xml:space="preserve">Figure 1</w:t>
            </w:r>
          </w:p>
          <w:bookmarkEnd w:id="27"/>
        </w:tc>
      </w:tr>
    </w:tbl>
    <w:bookmarkStart w:id="38" w:name="the-gwf-workflow-targets"/>
    <w:p>
      <w:pPr>
        <w:pStyle w:val="Heading4"/>
      </w:pPr>
      <w:r>
        <w:t xml:space="preserve">The</w:t>
      </w:r>
      <w:r>
        <w:t xml:space="preserve"> </w:t>
      </w:r>
      <w:r>
        <w:rPr>
          <w:i/>
          <w:iCs/>
        </w:rPr>
        <w:t xml:space="preserve">gwf</w:t>
      </w:r>
      <w:r>
        <w:t xml:space="preserve"> </w:t>
      </w:r>
      <w:r>
        <w:t xml:space="preserve">workflow targets</w:t>
      </w:r>
    </w:p>
    <w:p>
      <w:pPr>
        <w:pStyle w:val="FirstParagraph"/>
      </w:pPr>
      <w:r>
        <w:t xml:space="preserve">A</w:t>
      </w:r>
      <w:r>
        <w:t xml:space="preserve"> </w:t>
      </w:r>
      <w:r>
        <w:rPr>
          <w:i/>
          <w:iCs/>
        </w:rPr>
        <w:t xml:space="preserve">gwf</w:t>
      </w:r>
      <w:r>
        <w:t xml:space="preserve"> </w:t>
      </w:r>
      <w:r>
        <w:t xml:space="preserve">workflow was created to handle the first part of the data processing, and each accesion number (read pair, mate pair) from the Hi-C sequencing was processed in parallel, so their execution was independen on the other samples.</w:t>
      </w:r>
    </w:p>
    <w:bookmarkStart w:id="28" w:name="downloading-the-reads"/>
    <w:p>
      <w:pPr>
        <w:pStyle w:val="Heading5"/>
      </w:pPr>
      <w:r>
        <w:t xml:space="preserve">Downloading the reads</w:t>
      </w:r>
    </w:p>
    <w:p>
      <w:pPr>
        <w:pStyle w:val="FirstParagraph"/>
      </w:pPr>
      <w:r>
        <w:t xml:space="preserve">The reads were downloaded from NCBI SRA portal [ref] directly to GDK using</w:t>
      </w:r>
      <w:r>
        <w:t xml:space="preserve"> </w:t>
      </w:r>
      <w:r>
        <w:rPr>
          <w:rStyle w:val="VerbatimChar"/>
        </w:rPr>
        <w:t xml:space="preserve">sra-downloader</w:t>
      </w:r>
      <w:r>
        <w:t xml:space="preserve"> </w:t>
      </w:r>
      <w:r>
        <w:t xml:space="preserve">[ref] through docker [ref] as</w:t>
      </w:r>
      <w:r>
        <w:t xml:space="preserve"> </w:t>
      </w:r>
      <w:r>
        <w:rPr>
          <w:rStyle w:val="VerbatimChar"/>
        </w:rPr>
        <w:t xml:space="preserve">.fastq.gz</w:t>
      </w:r>
      <w:r>
        <w:t xml:space="preserve"> </w:t>
      </w:r>
      <w:r>
        <w:t xml:space="preserve">files.</w:t>
      </w:r>
    </w:p>
    <w:bookmarkEnd w:id="28"/>
    <w:bookmarkStart w:id="29" w:name="handling-the-reference"/>
    <w:p>
      <w:pPr>
        <w:pStyle w:val="Heading5"/>
      </w:pPr>
      <w:r>
        <w:t xml:space="preserve">Handling the reference</w:t>
      </w:r>
    </w:p>
    <w:p>
      <w:pPr>
        <w:pStyle w:val="FirstParagraph"/>
      </w:pPr>
      <w:r>
        <w:t xml:space="preserve">The latest reference genome for rhesus macaque (</w:t>
      </w:r>
      <w:r>
        <w:rPr>
          <w:i/>
          <w:iCs/>
        </w:rPr>
        <w:t xml:space="preserve">macaca mulata</w:t>
      </w:r>
      <w:r>
        <w:t xml:space="preserve">),</w:t>
      </w:r>
      <w:r>
        <w:t xml:space="preserve"> </w:t>
      </w:r>
      <w:r>
        <w:rPr>
          <w:i/>
          <w:iCs/>
        </w:rPr>
        <w:t xml:space="preserve">rheMac10</w:t>
      </w:r>
      <w:r>
        <w:t xml:space="preserve"> </w:t>
      </w:r>
      <w:r>
        <w:t xml:space="preserve">(or</w:t>
      </w:r>
      <w:r>
        <w:t xml:space="preserve"> </w:t>
      </w:r>
      <w:r>
        <w:rPr>
          <w:i/>
          <w:iCs/>
        </w:rPr>
        <w:t xml:space="preserve">Mmul_10</w:t>
      </w:r>
      <w:r>
        <w:t xml:space="preserve">, UCSC or NCBI naming conventions, respectively) was downloaded to GDK from UCSC web servers with</w:t>
      </w:r>
      <w:r>
        <w:t xml:space="preserve"> </w:t>
      </w:r>
      <w:r>
        <w:rPr>
          <w:rStyle w:val="VerbatimChar"/>
        </w:rPr>
        <w:t xml:space="preserve">wget</w:t>
      </w:r>
      <w:r>
        <w:t xml:space="preserve"> </w:t>
      </w:r>
      <w:r>
        <w:t xml:space="preserve">[ref]. To use</w:t>
      </w:r>
      <w:r>
        <w:t xml:space="preserve"> </w:t>
      </w:r>
      <w:r>
        <w:rPr>
          <w:rStyle w:val="VerbatimChar"/>
        </w:rPr>
        <w:t xml:space="preserve">bwa</w:t>
      </w:r>
      <w:r>
        <w:t xml:space="preserve"> </w:t>
      </w:r>
      <w:r>
        <w:t xml:space="preserve">(Burrow Wheeler’s Aligner) [ref] for mapping, rheMac10 needs to be indexed with both</w:t>
      </w:r>
      <w:r>
        <w:t xml:space="preserve"> </w:t>
      </w:r>
      <w:r>
        <w:rPr>
          <w:rStyle w:val="VerbatimChar"/>
        </w:rPr>
        <w:t xml:space="preserve">bwa index</w:t>
      </w:r>
      <w:r>
        <w:t xml:space="preserve"> </w:t>
      </w:r>
      <w:r>
        <w:t xml:space="preserve">with the</w:t>
      </w:r>
      <w:r>
        <w:t xml:space="preserve"> </w:t>
      </w:r>
      <w:r>
        <w:rPr>
          <w:rStyle w:val="VerbatimChar"/>
        </w:rPr>
        <w:t xml:space="preserve">--bwtsw</w:t>
      </w:r>
      <w:r>
        <w:t xml:space="preserve"> </w:t>
      </w:r>
      <w:r>
        <w:t xml:space="preserve">option and</w:t>
      </w:r>
      <w:r>
        <w:t xml:space="preserve"> </w:t>
      </w:r>
      <w:r>
        <w:rPr>
          <w:rStyle w:val="VerbatimChar"/>
        </w:rPr>
        <w:t xml:space="preserve">samtools faidx</w:t>
      </w:r>
      <w:r>
        <w:t xml:space="preserve">, which results in six indexing files for</w:t>
      </w:r>
      <w:r>
        <w:t xml:space="preserve"> </w:t>
      </w:r>
      <w:r>
        <w:rPr>
          <w:rStyle w:val="VerbatimChar"/>
        </w:rPr>
        <w:t xml:space="preserve">bwa mem</w:t>
      </w:r>
      <w:r>
        <w:t xml:space="preserve"> </w:t>
      </w:r>
      <w:r>
        <w:t xml:space="preserve">to use.</w:t>
      </w:r>
    </w:p>
    <w:bookmarkEnd w:id="29"/>
    <w:bookmarkStart w:id="30" w:name="mapping-paired-end-reads"/>
    <w:p>
      <w:pPr>
        <w:pStyle w:val="Heading5"/>
      </w:pPr>
      <w:r>
        <w:t xml:space="preserve">Mapping paired-end reads</w:t>
      </w:r>
    </w:p>
    <w:bookmarkEnd w:id="30"/>
    <w:bookmarkStart w:id="31" w:name="pair-and-sort-the-reads"/>
    <w:p>
      <w:pPr>
        <w:pStyle w:val="Heading5"/>
      </w:pPr>
      <w:r>
        <w:t xml:space="preserve">Pair and sort the reads</w:t>
      </w:r>
    </w:p>
    <w:bookmarkEnd w:id="31"/>
    <w:bookmarkStart w:id="32" w:name="filter-deduplicate-pairs"/>
    <w:p>
      <w:pPr>
        <w:pStyle w:val="Heading5"/>
      </w:pPr>
      <w:r>
        <w:t xml:space="preserve">Filter (deduplicate) pairs</w:t>
      </w:r>
    </w:p>
    <w:bookmarkEnd w:id="32"/>
    <w:bookmarkStart w:id="33" w:name="create-interaction-matrices-coolers"/>
    <w:p>
      <w:pPr>
        <w:pStyle w:val="Heading5"/>
      </w:pPr>
      <w:r>
        <w:t xml:space="preserve">Create interaction matrices (coolers)</w:t>
      </w:r>
    </w:p>
    <w:bookmarkEnd w:id="33"/>
    <w:bookmarkStart w:id="34" w:name="pooling-samples-merging-coolers"/>
    <w:p>
      <w:pPr>
        <w:pStyle w:val="Heading5"/>
      </w:pPr>
      <w:r>
        <w:t xml:space="preserve">Pooling samples (Merging coolers)</w:t>
      </w:r>
    </w:p>
    <w:p>
      <w:pPr>
        <w:pStyle w:val="FirstParagraph"/>
      </w:pPr>
      <w:r>
        <w:t xml:space="preserve">The strategy to get the best signal was by pooling the interaction matrices.</w:t>
      </w:r>
      <w:r>
        <w:t xml:space="preserve"> </w:t>
      </w:r>
      <w:r>
        <w:rPr>
          <w:rStyle w:val="VerbatimChar"/>
        </w:rPr>
        <w:t xml:space="preserve">cooler merge</w:t>
      </w:r>
      <w:r>
        <w:t xml:space="preserve"> </w:t>
      </w:r>
      <w:r>
        <w:t xml:space="preserve">was used to merge all samples in each sub-folder (cell type) to just one interaction matrix for each cell type. The reason for that is that we choose to trust</w:t>
      </w:r>
      <w:r>
        <w:t xml:space="preserve"> </w:t>
      </w:r>
      <w:r>
        <w:t xml:space="preserve">Wang et al. (2019)</w:t>
      </w:r>
      <w:r>
        <w:t xml:space="preserve"> </w:t>
      </w:r>
      <w:r>
        <w:t xml:space="preserve">when they say that compartments are highly reproducible between replicates, and by merging all replicates, we will have a more robust signal.</w:t>
      </w:r>
    </w:p>
    <w:bookmarkEnd w:id="34"/>
    <w:bookmarkStart w:id="35" w:name="create-multi-resolution-coolers-zoomify"/>
    <w:p>
      <w:pPr>
        <w:pStyle w:val="Heading5"/>
      </w:pPr>
      <w:r>
        <w:t xml:space="preserve">Create multi-resolution coolers (zoomify)</w:t>
      </w:r>
    </w:p>
    <w:bookmarkEnd w:id="35"/>
    <w:bookmarkStart w:id="36" w:name="matrix-balancing-iterative-correction"/>
    <w:p>
      <w:pPr>
        <w:pStyle w:val="Heading5"/>
      </w:pPr>
      <w:r>
        <w:t xml:space="preserve">Matrix balancing (Iterative correction)</w:t>
      </w:r>
    </w:p>
    <w:bookmarkEnd w:id="36"/>
    <w:bookmarkStart w:id="37" w:name="eigendecomposition"/>
    <w:p>
      <w:pPr>
        <w:pStyle w:val="Heading5"/>
      </w:pPr>
      <w:r>
        <w:t xml:space="preserve">Eigendecomposition</w:t>
      </w:r>
    </w:p>
    <w:p>
      <w:r>
        <w:br w:type="page"/>
      </w:r>
    </w:p>
    <w:bookmarkEnd w:id="37"/>
    <w:bookmarkEnd w:id="38"/>
    <w:bookmarkEnd w:id="39"/>
    <w:bookmarkEnd w:id="40"/>
    <w:bookmarkStart w:id="41" w:name="results"/>
    <w:p>
      <w:pPr>
        <w:pStyle w:val="Heading2"/>
      </w:pPr>
      <w:r>
        <w:t xml:space="preserve">Results</w:t>
      </w:r>
    </w:p>
    <w:p>
      <w:pPr>
        <w:pStyle w:val="FirstParagraph"/>
      </w:pPr>
      <w:r>
        <w:t xml:space="preserve">Here are the glorious results</w:t>
      </w:r>
    </w:p>
    <w:p>
      <w:r>
        <w:br w:type="page"/>
      </w:r>
    </w:p>
    <w:bookmarkEnd w:id="41"/>
    <w:bookmarkStart w:id="42" w:name="discussion"/>
    <w:p>
      <w:pPr>
        <w:pStyle w:val="Heading2"/>
      </w:pPr>
      <w:r>
        <w:t xml:space="preserve">Discussion</w:t>
      </w:r>
    </w:p>
    <w:p>
      <w:pPr>
        <w:pStyle w:val="FirstParagraph"/>
      </w:pPr>
      <w:r>
        <w:t xml:space="preserve">Here is the discussion</w:t>
      </w:r>
    </w:p>
    <w:p>
      <w:r>
        <w:br w:type="page"/>
      </w:r>
    </w:p>
    <w:bookmarkEnd w:id="42"/>
    <w:bookmarkStart w:id="58" w:name="bibliography"/>
    <w:p>
      <w:pPr>
        <w:pStyle w:val="Heading2"/>
      </w:pPr>
      <w:r>
        <w:t xml:space="preserve">Bibliography</w:t>
      </w:r>
    </w:p>
    <w:bookmarkStart w:id="57" w:name="refs"/>
    <w:bookmarkStart w:id="44" w:name="ref-jaenike_sex_2001"/>
    <w:p>
      <w:pPr>
        <w:pStyle w:val="Bibliography"/>
      </w:pPr>
      <w:r>
        <w:t xml:space="preserve">Jaenike, John. 2001.</w:t>
      </w:r>
      <w:r>
        <w:t xml:space="preserve"> </w:t>
      </w:r>
      <w:r>
        <w:t xml:space="preserve">“Sex</w:t>
      </w:r>
      <w:r>
        <w:t xml:space="preserve"> </w:t>
      </w:r>
      <w:r>
        <w:t xml:space="preserve">Chromosome</w:t>
      </w:r>
      <w:r>
        <w:t xml:space="preserve"> </w:t>
      </w:r>
      <w:r>
        <w:t xml:space="preserve">Meiotic</w:t>
      </w:r>
      <w:r>
        <w:t xml:space="preserve"> </w:t>
      </w:r>
      <w:r>
        <w:t xml:space="preserve">Drive</w:t>
      </w:r>
      <w:r>
        <w:t xml:space="preserve">.”</w:t>
      </w:r>
      <w:r>
        <w:t xml:space="preserve"> </w:t>
      </w:r>
      <w:r>
        <w:rPr>
          <w:i/>
          <w:iCs/>
        </w:rPr>
        <w:t xml:space="preserve">Annual Review of Ecology and Systematics</w:t>
      </w:r>
      <w:r>
        <w:t xml:space="preserve"> </w:t>
      </w:r>
      <w:r>
        <w:t xml:space="preserve">32 (1): 25–49.</w:t>
      </w:r>
      <w:r>
        <w:t xml:space="preserve"> </w:t>
      </w:r>
      <w:hyperlink r:id="rId43">
        <w:r>
          <w:rPr>
            <w:rStyle w:val="Hyperlink"/>
          </w:rPr>
          <w:t xml:space="preserve">https://doi.org/10.1146/annurev.ecolsys.32.081501.113958</w:t>
        </w:r>
      </w:hyperlink>
      <w:r>
        <w:t xml:space="preserve">.</w:t>
      </w:r>
    </w:p>
    <w:bookmarkEnd w:id="44"/>
    <w:bookmarkStart w:id="46" w:name="ref-lieberman_aiden_comprehensive_2009"/>
    <w:p>
      <w:pPr>
        <w:pStyle w:val="Bibliography"/>
      </w:pPr>
      <w:r>
        <w:t xml:space="preserve">Lieberman-Aiden, Erez, Nynke L. Van Berkum, Louise Williams, Maxim Imakaev, Tobias Ragoczy, Agnes Telling, Ido Amit, et al. 2009.</w:t>
      </w:r>
      <w:r>
        <w:t xml:space="preserve"> </w:t>
      </w:r>
      <w:r>
        <w:t xml:space="preserve">“Comprehensive</w:t>
      </w:r>
      <w:r>
        <w:t xml:space="preserve"> </w:t>
      </w:r>
      <w:r>
        <w:t xml:space="preserve">Mapping</w:t>
      </w:r>
      <w:r>
        <w:t xml:space="preserve"> </w:t>
      </w:r>
      <w:r>
        <w:t xml:space="preserve">of</w:t>
      </w:r>
      <w:r>
        <w:t xml:space="preserve"> </w:t>
      </w:r>
      <w:r>
        <w:t xml:space="preserve">Long</w:t>
      </w:r>
      <w:r>
        <w:t xml:space="preserve">-</w:t>
      </w:r>
      <w:r>
        <w:t xml:space="preserve">Range</w:t>
      </w:r>
      <w:r>
        <w:t xml:space="preserve"> </w:t>
      </w:r>
      <w:r>
        <w:t xml:space="preserve">Interactions</w:t>
      </w:r>
      <w:r>
        <w:t xml:space="preserve"> </w:t>
      </w:r>
      <w:r>
        <w:t xml:space="preserve">Reveals</w:t>
      </w:r>
      <w:r>
        <w:t xml:space="preserve"> </w:t>
      </w:r>
      <w:r>
        <w:t xml:space="preserve">Folding</w:t>
      </w:r>
      <w:r>
        <w:t xml:space="preserve"> </w:t>
      </w:r>
      <w:r>
        <w:t xml:space="preserve">Principles</w:t>
      </w:r>
      <w:r>
        <w:t xml:space="preserve"> </w:t>
      </w:r>
      <w:r>
        <w:t xml:space="preserve">of the</w:t>
      </w:r>
      <w:r>
        <w:t xml:space="preserve"> </w:t>
      </w:r>
      <w:r>
        <w:t xml:space="preserve">Human</w:t>
      </w:r>
      <w:r>
        <w:t xml:space="preserve"> </w:t>
      </w:r>
      <w:r>
        <w:t xml:space="preserve">Genome</w:t>
      </w:r>
      <w:r>
        <w:t xml:space="preserve">.”</w:t>
      </w:r>
      <w:r>
        <w:t xml:space="preserve"> </w:t>
      </w:r>
      <w:r>
        <w:rPr>
          <w:i/>
          <w:iCs/>
        </w:rPr>
        <w:t xml:space="preserve">Science</w:t>
      </w:r>
      <w:r>
        <w:t xml:space="preserve"> </w:t>
      </w:r>
      <w:r>
        <w:t xml:space="preserve">326 (5950): 289–93.</w:t>
      </w:r>
      <w:r>
        <w:t xml:space="preserve"> </w:t>
      </w:r>
      <w:hyperlink r:id="rId45">
        <w:r>
          <w:rPr>
            <w:rStyle w:val="Hyperlink"/>
          </w:rPr>
          <w:t xml:space="preserve">https://doi.org/10.1126/science.1181369</w:t>
        </w:r>
      </w:hyperlink>
      <w:r>
        <w:t xml:space="preserve">.</w:t>
      </w:r>
    </w:p>
    <w:bookmarkEnd w:id="46"/>
    <w:bookmarkStart w:id="48" w:name="ref-munch_group_2024"/>
    <w:p>
      <w:pPr>
        <w:pStyle w:val="Bibliography"/>
      </w:pPr>
      <w:r>
        <w:t xml:space="preserve">Munch, Kasper. 2024.</w:t>
      </w:r>
      <w:r>
        <w:t xml:space="preserve"> </w:t>
      </w:r>
      <w:r>
        <w:t xml:space="preserve">“Munch-Group.”</w:t>
      </w:r>
      <w:r>
        <w:t xml:space="preserve"> </w:t>
      </w:r>
      <w:hyperlink r:id="rId47">
        <w:r>
          <w:rPr>
            <w:rStyle w:val="Hyperlink"/>
          </w:rPr>
          <w:t xml:space="preserve">https://munch-group.org/research.html</w:t>
        </w:r>
      </w:hyperlink>
      <w:r>
        <w:t xml:space="preserve">.</w:t>
      </w:r>
    </w:p>
    <w:bookmarkEnd w:id="48"/>
    <w:bookmarkStart w:id="50" w:name="ref-open2c"/>
    <w:p>
      <w:pPr>
        <w:pStyle w:val="Bibliography"/>
      </w:pPr>
      <w:r>
        <w:t xml:space="preserve">Open Chromosome Collective. 2024.</w:t>
      </w:r>
      <w:r>
        <w:t xml:space="preserve"> </w:t>
      </w:r>
      <w:r>
        <w:t xml:space="preserve">“Open</w:t>
      </w:r>
      <w:r>
        <w:t xml:space="preserve"> </w:t>
      </w:r>
      <w:r>
        <w:t xml:space="preserve">Chromosome</w:t>
      </w:r>
      <w:r>
        <w:t xml:space="preserve"> </w:t>
      </w:r>
      <w:r>
        <w:t xml:space="preserve">Collective</w:t>
      </w:r>
      <w:r>
        <w:t xml:space="preserve"> </w:t>
      </w:r>
      <w:r>
        <w:t xml:space="preserve">(</w:t>
      </w:r>
      <w:r>
        <w:t xml:space="preserve">Open2C</w:t>
      </w:r>
      <w:r>
        <w:t xml:space="preserve">).”</w:t>
      </w:r>
      <w:r>
        <w:t xml:space="preserve"> </w:t>
      </w:r>
      <w:r>
        <w:t xml:space="preserve">Resource.</w:t>
      </w:r>
      <w:r>
        <w:t xml:space="preserve"> </w:t>
      </w:r>
      <w:r>
        <w:rPr>
          <w:i/>
          <w:iCs/>
        </w:rPr>
        <w:t xml:space="preserve">Open2C</w:t>
      </w:r>
      <w:r>
        <w:t xml:space="preserve">.</w:t>
      </w:r>
      <w:r>
        <w:t xml:space="preserve"> </w:t>
      </w:r>
      <w:hyperlink r:id="rId49">
        <w:r>
          <w:rPr>
            <w:rStyle w:val="Hyperlink"/>
          </w:rPr>
          <w:t xml:space="preserve">https://open2c.github.io/</w:t>
        </w:r>
      </w:hyperlink>
      <w:r>
        <w:t xml:space="preserve">.</w:t>
      </w:r>
    </w:p>
    <w:bookmarkEnd w:id="50"/>
    <w:bookmarkStart w:id="52" w:name="ref-skov_extraordinary_2023"/>
    <w:p>
      <w:pPr>
        <w:pStyle w:val="Bibliography"/>
      </w:pPr>
      <w:r>
        <w:t xml:space="preserve">Skov, Laurits, Moisès Coll Macià, Elise Anne Lucotte, Maria Izabel Alves Cavassim, David Castellano, Mikkel Heide Schierup, and Kasper Munch. 2023.</w:t>
      </w:r>
      <w:r>
        <w:t xml:space="preserve"> </w:t>
      </w:r>
      <w:r>
        <w:t xml:space="preserve">“Extraordinary Selection on the Human</w:t>
      </w:r>
      <w:r>
        <w:t xml:space="preserve"> </w:t>
      </w:r>
      <w:r>
        <w:t xml:space="preserve">X</w:t>
      </w:r>
      <w:r>
        <w:t xml:space="preserve"> </w:t>
      </w:r>
      <w:r>
        <w:t xml:space="preserve">Chromosome Associated with Archaic Admixture.”</w:t>
      </w:r>
      <w:r>
        <w:t xml:space="preserve"> </w:t>
      </w:r>
      <w:r>
        <w:rPr>
          <w:i/>
          <w:iCs/>
        </w:rPr>
        <w:t xml:space="preserve">Cell Genomics</w:t>
      </w:r>
      <w:r>
        <w:t xml:space="preserve"> </w:t>
      </w:r>
      <w:r>
        <w:t xml:space="preserve">3 (3): 100274.</w:t>
      </w:r>
      <w:r>
        <w:t xml:space="preserve"> </w:t>
      </w:r>
      <w:hyperlink r:id="rId51">
        <w:r>
          <w:rPr>
            <w:rStyle w:val="Hyperlink"/>
          </w:rPr>
          <w:t xml:space="preserve">https://doi.org/10.1016/j.xgen.2023.100274</w:t>
        </w:r>
      </w:hyperlink>
      <w:r>
        <w:t xml:space="preserve">.</w:t>
      </w:r>
    </w:p>
    <w:bookmarkEnd w:id="52"/>
    <w:bookmarkStart w:id="54" w:name="ref-sorensen_genome_wide_2023"/>
    <w:p>
      <w:pPr>
        <w:pStyle w:val="Bibliography"/>
      </w:pPr>
      <w:r>
        <w:t xml:space="preserve">Sørensen, Erik F., R. Alan Harris, Liye Zhang, Muthuswamy Raveendran, Lukas F. K. Kuderna, Jerilyn A. Walker, Jessica M. Storer, et al. 2023.</w:t>
      </w:r>
      <w:r>
        <w:t xml:space="preserve"> </w:t>
      </w:r>
      <w:r>
        <w:t xml:space="preserve">“Genome-Wide Coancestry Reveals Details of Ancient and Recent Male-Driven Reticulation in Baboons.”</w:t>
      </w:r>
      <w:r>
        <w:t xml:space="preserve"> </w:t>
      </w:r>
      <w:r>
        <w:rPr>
          <w:i/>
          <w:iCs/>
        </w:rPr>
        <w:t xml:space="preserve">Science</w:t>
      </w:r>
      <w:r>
        <w:t xml:space="preserve"> </w:t>
      </w:r>
      <w:r>
        <w:t xml:space="preserve">380 (6648): eabn8153.</w:t>
      </w:r>
      <w:r>
        <w:t xml:space="preserve"> </w:t>
      </w:r>
      <w:hyperlink r:id="rId53">
        <w:r>
          <w:rPr>
            <w:rStyle w:val="Hyperlink"/>
          </w:rPr>
          <w:t xml:space="preserve">https://doi.org/10.1126/science.abn8153</w:t>
        </w:r>
      </w:hyperlink>
      <w:r>
        <w:t xml:space="preserve">.</w:t>
      </w:r>
    </w:p>
    <w:bookmarkEnd w:id="54"/>
    <w:bookmarkStart w:id="56" w:name="ref-wang_reprogramming_2019"/>
    <w:p>
      <w:pPr>
        <w:pStyle w:val="Bibliography"/>
      </w:pPr>
      <w:r>
        <w:t xml:space="preserve">Wang, Yao, Hanben Wang, Yu Zhang, Zhenhai Du, Wei Si, Suixing Fan, Dongdong Qin, et al. 2019.</w:t>
      </w:r>
      <w:r>
        <w:t xml:space="preserve"> </w:t>
      </w:r>
      <w:r>
        <w:t xml:space="preserve">“Reprogramming of</w:t>
      </w:r>
      <w:r>
        <w:t xml:space="preserve"> </w:t>
      </w:r>
      <w:r>
        <w:t xml:space="preserve">Meiotic</w:t>
      </w:r>
      <w:r>
        <w:t xml:space="preserve"> </w:t>
      </w:r>
      <w:r>
        <w:t xml:space="preserve">Chromatin</w:t>
      </w:r>
      <w:r>
        <w:t xml:space="preserve"> </w:t>
      </w:r>
      <w:r>
        <w:t xml:space="preserve">Architecture</w:t>
      </w:r>
      <w:r>
        <w:t xml:space="preserve"> </w:t>
      </w:r>
      <w:r>
        <w:t xml:space="preserve">During</w:t>
      </w:r>
      <w:r>
        <w:t xml:space="preserve"> </w:t>
      </w:r>
      <w:r>
        <w:t xml:space="preserve">Spermatogenesis</w:t>
      </w:r>
      <w:r>
        <w:t xml:space="preserve">.”</w:t>
      </w:r>
      <w:r>
        <w:t xml:space="preserve"> </w:t>
      </w:r>
      <w:r>
        <w:rPr>
          <w:i/>
          <w:iCs/>
        </w:rPr>
        <w:t xml:space="preserve">Molecular Cell</w:t>
      </w:r>
      <w:r>
        <w:t xml:space="preserve"> </w:t>
      </w:r>
      <w:r>
        <w:t xml:space="preserve">73 (3): 547–561.e6.</w:t>
      </w:r>
      <w:r>
        <w:t xml:space="preserve"> </w:t>
      </w:r>
      <w:hyperlink r:id="rId55">
        <w:r>
          <w:rPr>
            <w:rStyle w:val="Hyperlink"/>
          </w:rPr>
          <w:t xml:space="preserve">https://doi.org/10.1016/j.molcel.2018.11.019</w:t>
        </w:r>
      </w:hyperlink>
      <w:r>
        <w:t xml:space="preserve">.</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Chromatin Compartments and Selection on X</dc:title>
  <dc:creator>Søren Jørgensen</dc:creator>
  <cp:keywords>Hi-C, Chromatin Compartments, Selection</cp:keywords>
  <dcterms:created xsi:type="dcterms:W3CDTF">2024-11-27T12:27:02Z</dcterms:created>
  <dcterms:modified xsi:type="dcterms:W3CDTF">2024-11-27T12:27:02Z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2024-11-27</vt:lpwstr>
  </property>
  <property fmtid="{D5CDD505-2E9C-101B-9397-08002B2CF9AE}" pid="9" name="from">
    <vt:lpwstr>markdown+emoji</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plain-language-summary">
    <vt:lpwstr>3-dimensional structure of chromatin brings light onto the mystery of selfish genes.</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How Edges of Active Chromatin Align with Selection Regions in Primates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