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Author"/>
      </w:pPr>
      <w:r>
        <w:t xml:space="preserve">Søren Jørgensen</w:t>
      </w:r>
    </w:p>
    <w:p>
      <w:pPr>
        <w:pStyle w:val="Date"/>
      </w:pPr>
      <w:r>
        <w:t xml:space="preserve">2024-11-28</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p>
      <w:r>
        <w:br w:type="page"/>
      </w:r>
    </w:p>
    <w:bookmarkStart w:id="23" w:name="introduction"/>
    <w:p>
      <w:pPr>
        <w:pStyle w:val="Heading2"/>
      </w:pPr>
      <w:r>
        <w:t xml:space="preserve">Introduction</w:t>
      </w:r>
    </w:p>
    <w:bookmarkStart w:id="20" w:name="X0cc49b0f65394600bb4e7a29e2bb09612f8e3e4"/>
    <w:p>
      <w:pPr>
        <w:pStyle w:val="Heading3"/>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3"/>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3"/>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4" w:name="methods"/>
    <w:p>
      <w:pPr>
        <w:pStyle w:val="Heading2"/>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3"/>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summary">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summary"/>
          <w:p>
            <w:pPr>
              <w:jc w:val="center"/>
            </w:pPr>
            <w:pPr>
              <w:jc w:val="start"/>
              <w:spacing w:before="200"/>
              <w:pStyle w:val="ImageCaption"/>
            </w:pPr>
            <w:r>
              <w:t xml:space="preserve">Table 1: Summary of the data accessions used in this analysis</w:t>
            </w:r>
          </w:p>
          <w:bookmarkStart w:id="24" w:name="T_55ad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0</w:t>
                  </w:r>
                </w:p>
              </w:tc>
              <w:tc>
                <w:tcPr/>
                <w:p>
                  <w:pPr>
                    <w:pStyle w:val="Compact"/>
                    <w:jc w:val="center"/>
                  </w:pPr>
                  <w:r>
                    <w:t xml:space="preserve">fibroblast</w:t>
                  </w:r>
                </w:p>
              </w:tc>
              <w:tc>
                <w:tcPr/>
                <w:p>
                  <w:pPr>
                    <w:pStyle w:val="Compact"/>
                    <w:jc w:val="center"/>
                  </w:pPr>
                  <w:r>
                    <w:t xml:space="preserve">211.403275</w:t>
                  </w:r>
                </w:p>
              </w:tc>
              <w:tc>
                <w:tcPr/>
                <w:p>
                  <w:pPr>
                    <w:pStyle w:val="Compact"/>
                    <w:jc w:val="center"/>
                  </w:pPr>
                  <w:r>
                    <w:t xml:space="preserve">553,968,406,500</w:t>
                  </w:r>
                </w:p>
              </w:tc>
              <w:tc>
                <w:tcPr/>
                <w:p>
                  <w:pPr>
                    <w:pStyle w:val="Compact"/>
                    <w:jc w:val="center"/>
                  </w:pPr>
                  <w:r>
                    <w:t xml:space="preserve">1,846,561,355</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274.835160</w:t>
                  </w:r>
                </w:p>
              </w:tc>
              <w:tc>
                <w:tcPr/>
                <w:p>
                  <w:pPr>
                    <w:pStyle w:val="Compact"/>
                    <w:jc w:val="center"/>
                  </w:pPr>
                  <w:r>
                    <w:t xml:space="preserve">715,656,614,700</w:t>
                  </w:r>
                </w:p>
              </w:tc>
              <w:tc>
                <w:tcPr/>
                <w:p>
                  <w:pPr>
                    <w:pStyle w:val="Compact"/>
                    <w:jc w:val="center"/>
                  </w:pPr>
                  <w:r>
                    <w:t xml:space="preserve">2,385,522,049</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243.128044</w:t>
                  </w:r>
                </w:p>
              </w:tc>
              <w:tc>
                <w:tcPr/>
                <w:p>
                  <w:pPr>
                    <w:pStyle w:val="Compact"/>
                    <w:jc w:val="center"/>
                  </w:pPr>
                  <w:r>
                    <w:t xml:space="preserve">655,938,457,200</w:t>
                  </w:r>
                </w:p>
              </w:tc>
              <w:tc>
                <w:tcPr/>
                <w:p>
                  <w:pPr>
                    <w:pStyle w:val="Compact"/>
                    <w:jc w:val="center"/>
                  </w:pPr>
                  <w:r>
                    <w:t xml:space="preserve">2,186,461,524</w:t>
                  </w:r>
                </w:p>
              </w:tc>
            </w:tr>
            <w:tr>
              <w:tc>
                <w:tcPr/>
                <w:p>
                  <w:pPr>
                    <w:pStyle w:val="Compact"/>
                    <w:jc w:val="center"/>
                  </w:pPr>
                  <w:r>
                    <w:t xml:space="preserve">3</w:t>
                  </w:r>
                </w:p>
              </w:tc>
              <w:tc>
                <w:tcPr/>
                <w:p>
                  <w:pPr>
                    <w:pStyle w:val="Compact"/>
                    <w:jc w:val="center"/>
                  </w:pPr>
                  <w:r>
                    <w:t xml:space="preserve">sperm</w:t>
                  </w:r>
                </w:p>
              </w:tc>
              <w:tc>
                <w:tcPr/>
                <w:p>
                  <w:pPr>
                    <w:pStyle w:val="Compact"/>
                    <w:jc w:val="center"/>
                  </w:pPr>
                  <w:r>
                    <w:t xml:space="preserve">164.131640</w:t>
                  </w:r>
                </w:p>
              </w:tc>
              <w:tc>
                <w:tcPr/>
                <w:p>
                  <w:pPr>
                    <w:pStyle w:val="Compact"/>
                    <w:jc w:val="center"/>
                  </w:pPr>
                  <w:r>
                    <w:t xml:space="preserve">428,913,635,400</w:t>
                  </w:r>
                </w:p>
              </w:tc>
              <w:tc>
                <w:tcPr/>
                <w:p>
                  <w:pPr>
                    <w:pStyle w:val="Compact"/>
                    <w:jc w:val="center"/>
                  </w:pPr>
                  <w:r>
                    <w:t xml:space="preserve">1,429,712,118</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192.794420</w:t>
                  </w:r>
                </w:p>
              </w:tc>
              <w:tc>
                <w:tcPr/>
                <w:p>
                  <w:pPr>
                    <w:pStyle w:val="Compact"/>
                    <w:jc w:val="center"/>
                  </w:pPr>
                  <w:r>
                    <w:t xml:space="preserve">518,665,980,300</w:t>
                  </w:r>
                </w:p>
              </w:tc>
              <w:tc>
                <w:tcPr/>
                <w:p>
                  <w:pPr>
                    <w:pStyle w:val="Compact"/>
                    <w:jc w:val="center"/>
                  </w:pPr>
                  <w:r>
                    <w:t xml:space="preserve">1,728,886,601</w:t>
                  </w:r>
                </w:p>
              </w:tc>
            </w:tr>
          </w:tbl>
          <w:bookmarkEnd w:id="24"/>
          <w:bookmarkEnd w:id="25"/>
          <w:p/>
        </w:tc>
      </w:tr>
    </w:tbl>
    <w:bookmarkEnd w:id="26"/>
    <w:bookmarkStart w:id="43" w:name="handling-coolers-or-preparing-coolers"/>
    <w:p>
      <w:pPr>
        <w:pStyle w:val="Heading3"/>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30" w:name="fig-flowchart-handling-coolers"/>
          <w:p>
            <w:pPr>
              <w:pStyle w:val="Compact"/>
              <w:jc w:val="center"/>
            </w:pPr>
            <w:r>
              <w:drawing>
                <wp:inline>
                  <wp:extent cx="4800600" cy="845786"/>
                  <wp:effectExtent b="0" l="0" r="0" t="0"/>
                  <wp:docPr descr="" title="" id="28" name="Picture"/>
                  <a:graphic>
                    <a:graphicData uri="http://schemas.openxmlformats.org/drawingml/2006/picture">
                      <pic:pic>
                        <pic:nvPicPr>
                          <pic:cNvPr descr="../figures/placeholder2000x360.png" id="29" name="Picture"/>
                          <pic:cNvPicPr>
                            <a:picLocks noChangeArrowheads="1" noChangeAspect="1"/>
                          </pic:cNvPicPr>
                        </pic:nvPicPr>
                        <pic:blipFill>
                          <a:blip r:embed="rId27"/>
                          <a:stretch>
                            <a:fillRect/>
                          </a:stretch>
                        </pic:blipFill>
                        <pic:spPr bwMode="auto">
                          <a:xfrm>
                            <a:off x="0" y="0"/>
                            <a:ext cx="4800600" cy="8457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flowchart showing the pipeline from</w:t>
            </w:r>
            <w:r>
              <w:t xml:space="preserve"> </w:t>
            </w:r>
            <w:r>
              <w:rPr>
                <w:rStyle w:val="VerbatimChar"/>
              </w:rPr>
              <w:t xml:space="preserve">.fastq</w:t>
            </w:r>
            <w:r>
              <w:t xml:space="preserve"> </w:t>
            </w:r>
            <w:r>
              <w:t xml:space="preserve">to</w:t>
            </w:r>
            <w:r>
              <w:t xml:space="preserve"> </w:t>
            </w:r>
            <w:r>
              <w:rPr>
                <w:rStyle w:val="VerbatimChar"/>
              </w:rPr>
              <w:t xml:space="preserve">.mcool</w:t>
            </w:r>
            <w:r>
              <w:t xml:space="preserve">. The first 6 steps were done with a Probably BioRender or Inkscape.</w:t>
            </w:r>
          </w:p>
          <w:bookmarkEnd w:id="30"/>
        </w:tc>
      </w:tr>
    </w:tbl>
    <w:bookmarkStart w:id="37" w:name="the-gwf-workflow-targets"/>
    <w:p>
      <w:pPr>
        <w:pStyle w:val="Heading4"/>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independent from each other.</w:t>
      </w:r>
    </w:p>
    <w:bookmarkStart w:id="31" w:name="downloading-the-reads"/>
    <w:p>
      <w:pPr>
        <w:pStyle w:val="Heading5"/>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31"/>
    <w:bookmarkStart w:id="32" w:name="handling-the-reference"/>
    <w:p>
      <w:pPr>
        <w:pStyle w:val="Heading5"/>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bookmarkEnd w:id="32"/>
    <w:bookmarkStart w:id="33" w:name="mapping-paired-end-reads"/>
    <w:p>
      <w:pPr>
        <w:pStyle w:val="Heading5"/>
      </w:pPr>
      <w:r>
        <w:t xml:space="preserve">Mapping paired-end reads</w:t>
      </w:r>
    </w:p>
    <w:bookmarkEnd w:id="33"/>
    <w:bookmarkStart w:id="34" w:name="pair-and-sort-the-reads"/>
    <w:p>
      <w:pPr>
        <w:pStyle w:val="Heading5"/>
      </w:pPr>
      <w:r>
        <w:t xml:space="preserve">Pair and sort the reads</w:t>
      </w:r>
    </w:p>
    <w:bookmarkEnd w:id="34"/>
    <w:bookmarkStart w:id="35" w:name="filter-deduplicate-pairs"/>
    <w:p>
      <w:pPr>
        <w:pStyle w:val="Heading5"/>
      </w:pPr>
      <w:r>
        <w:t xml:space="preserve">Filter (deduplicate) pairs</w:t>
      </w:r>
    </w:p>
    <w:bookmarkEnd w:id="35"/>
    <w:bookmarkStart w:id="36" w:name="create-interaction-matrices-coolers"/>
    <w:p>
      <w:pPr>
        <w:pStyle w:val="Heading5"/>
      </w:pPr>
      <w:r>
        <w:t xml:space="preserve">Create interaction matrices (coolers)</w:t>
      </w:r>
    </w:p>
    <w:bookmarkEnd w:id="36"/>
    <w:bookmarkEnd w:id="37"/>
    <w:bookmarkStart w:id="42" w:name="notebook-edits"/>
    <w:p>
      <w:pPr>
        <w:pStyle w:val="Heading4"/>
      </w:pPr>
      <w:r>
        <w:t xml:space="preserve">Notebook edits</w:t>
      </w:r>
    </w:p>
    <w:p>
      <w:pPr>
        <w:pStyle w:val="FirstParagraph"/>
      </w:pPr>
      <w:r>
        <w:t xml:space="preserve">As</w:t>
      </w:r>
      <w:r>
        <w:t xml:space="preserve"> </w:t>
      </w:r>
      <w:r>
        <w:rPr>
          <w:rStyle w:val="VerbatimChar"/>
        </w:rPr>
        <w:t xml:space="preserve">cooler</w:t>
      </w:r>
      <w:r>
        <w:t xml:space="preserve"> </w:t>
      </w:r>
      <w:r>
        <w:t xml:space="preserve">and</w:t>
      </w:r>
      <w:r>
        <w:t xml:space="preserve"> </w:t>
      </w:r>
      <w:r>
        <w:rPr>
          <w:rStyle w:val="VerbatimChar"/>
        </w:rPr>
        <w:t xml:space="preserve">cooltools</w:t>
      </w:r>
      <w:r>
        <w:t xml:space="preserve"> </w:t>
      </w:r>
      <w:r>
        <w:t xml:space="preserve">have a Python API, the more experimental parts of the analysis were moved to Jupyter Notebooks (still running on GenomeDK)</w:t>
      </w:r>
    </w:p>
    <w:bookmarkStart w:id="38" w:name="pooling-samples-merging-coolers"/>
    <w:p>
      <w:pPr>
        <w:pStyle w:val="Heading5"/>
      </w:pPr>
      <w:r>
        <w:t xml:space="preserve">Pooling samples (Merging coolers)</w:t>
      </w:r>
    </w:p>
    <w:p>
      <w:pPr>
        <w:pStyle w:val="FirstParagraph"/>
      </w:pPr>
      <w:r>
        <w:t xml:space="preserve">The samples are grouped into</w:t>
      </w:r>
      <w:r>
        <w:t xml:space="preserve"> </w:t>
      </w:r>
      <w:r>
        <w:rPr>
          <w:i/>
          <w:iCs/>
        </w:rPr>
        <w:t xml:space="preserve">replicates</w:t>
      </w:r>
      <w:r>
        <w:t xml:space="preserve"> </w:t>
      </w:r>
      <w:r>
        <w:t xml:space="preserve">with a unique</w:t>
      </w:r>
      <w:r>
        <w:t xml:space="preserve"> </w:t>
      </w:r>
      <w:r>
        <w:rPr>
          <w:b/>
          <w:bCs/>
        </w:rPr>
        <w:t xml:space="preserve">BioSample</w:t>
      </w:r>
      <w:r>
        <w:t xml:space="preserve"> </w:t>
      </w:r>
      <w:r>
        <w:t xml:space="preserve">ID, but we chose to pool all the interaction matrices for each cell type. We argue that when</w:t>
      </w:r>
      <w:r>
        <w:t xml:space="preserve"> </w:t>
      </w:r>
      <w:r>
        <w:t xml:space="preserve">Wang et al. (2019)</w:t>
      </w:r>
      <w:r>
        <w:t xml:space="preserve"> </w:t>
      </w:r>
      <w:r>
        <w:t xml:space="preserve">determine compartments to be highly reproducible between replicates, by merging the replicates we can get a more robust signal.</w:t>
      </w:r>
    </w:p>
    <w:p>
      <w:pPr>
        <w:pStyle w:val="BodyText"/>
      </w:pPr>
      <w:r>
        <w:rPr>
          <w:rStyle w:val="VerbatimChar"/>
        </w:rPr>
        <w:t xml:space="preserve">cooler merge</w:t>
      </w:r>
      <w:r>
        <w:t xml:space="preserve"> </w:t>
      </w:r>
      <w:r>
        <w:t xml:space="preserve">was used to merge all samples in each sub-folder (cell type) to just one interaction matrix for each cell type. The function merges matrices of the same dimensions by simply adding the interaction frequencies of each genomic position together, resulting in less empty positions by chance.</w:t>
      </w:r>
    </w:p>
    <w:bookmarkEnd w:id="38"/>
    <w:bookmarkStart w:id="39" w:name="create-multi-resolution-coolers-zoomify"/>
    <w:p>
      <w:pPr>
        <w:pStyle w:val="Heading5"/>
      </w:pPr>
      <w:r>
        <w:t xml:space="preserve">Create multi-resolution coolers (zoomify)</w:t>
      </w:r>
    </w:p>
    <w:p>
      <w:pPr>
        <w:pStyle w:val="FirstParagraph"/>
      </w:pPr>
      <w:r>
        <w:t xml:space="preserve">A feature of working inside the ecosystem of</w:t>
      </w:r>
      <w:r>
        <w:t xml:space="preserve"> </w:t>
      </w:r>
      <w:r>
        <w:rPr>
          <w:i/>
          <w:iCs/>
        </w:rPr>
        <w:t xml:space="preserve">Open2C</w:t>
      </w:r>
      <w:r>
        <w:t xml:space="preserve"> </w:t>
      </w:r>
      <w:r>
        <w:t xml:space="preserve">[ref] is that it natively provides support for storing sparse interaction matrices in multiple resolutions in the same file by adding groups to the hdf5-file [ref]. We can then efficiently store resolutions (i.e., different bin sizes) that is multiples of the smallest bin size. We chose to use 10kb, 50kb, 100kb, and 500kb bins.</w:t>
      </w:r>
    </w:p>
    <w:bookmarkEnd w:id="39"/>
    <w:bookmarkStart w:id="40" w:name="matrix-balancing-iterative-correction"/>
    <w:p>
      <w:pPr>
        <w:pStyle w:val="Heading5"/>
      </w:pPr>
      <w:r>
        <w:t xml:space="preserve">Matrix balancing (Iterative correction)</w:t>
      </w:r>
    </w:p>
    <w:p>
      <w:pPr>
        <w:pStyle w:val="FirstParagraph"/>
      </w:pPr>
      <w:r>
        <w:t xml:space="preserve">Finally, we balance the matrices using the cooler CLI. We use the</w:t>
      </w:r>
      <w:r>
        <w:t xml:space="preserve"> </w:t>
      </w:r>
      <w:r>
        <w:rPr>
          <w:rStyle w:val="VerbatimChar"/>
        </w:rPr>
        <w:t xml:space="preserve">cooler balance</w:t>
      </w:r>
      <w:r>
        <w:t xml:space="preserve"> </w:t>
      </w:r>
      <w:r>
        <w:t xml:space="preserve">command with the default options using 32 cores, which iteratively balances the matrix (Iterative Corecction). It is first described as a method for bias correction of Hi-C matrices in</w:t>
      </w:r>
      <w:r>
        <w:t xml:space="preserve"> </w:t>
      </w:r>
      <w:r>
        <w:t xml:space="preserve">(Imakaev et al. 2012)</w:t>
      </w:r>
      <w:r>
        <w:t xml:space="preserve">, where it is paired with eigenvector decomposition (ICE). Here the eigenvector decomposition of the obtained maps is shown to provide insights into local chromatin states.</w:t>
      </w:r>
    </w:p>
    <w:p>
      <w:pPr>
        <w:pStyle w:val="BodyText"/>
      </w:pPr>
      <w:r>
        <w:t xml:space="preserve">According to</w:t>
      </w:r>
      <w:r>
        <w:t xml:space="preserve"> </w:t>
      </w:r>
      <w:r>
        <w:rPr>
          <w:rStyle w:val="VerbatimChar"/>
        </w:rPr>
        <w:t xml:space="preserve">cooler</w:t>
      </w:r>
      <w:r>
        <w:t xml:space="preserve"> </w:t>
      </w:r>
      <w:r>
        <w:t xml:space="preserve">documentation, we have to balance the matrices on each resolution, and thus it cannot be done prior to zoomifying. The argument is that the balancing weights are resolution-specific and will no longer retain its meaning when binned with other weights. Therefore, we use a nested for-loop that iterates through all the</w:t>
      </w:r>
      <w:r>
        <w:t xml:space="preserve"> </w:t>
      </w:r>
      <w:r>
        <w:rPr>
          <w:rStyle w:val="VerbatimChar"/>
        </w:rPr>
        <w:t xml:space="preserve">.mcools</w:t>
      </w:r>
      <w:r>
        <w:t xml:space="preserve"> </w:t>
      </w:r>
      <w:r>
        <w:t xml:space="preserve">and all the resolutions in each</w:t>
      </w:r>
      <w:r>
        <w:t xml:space="preserve"> </w:t>
      </w:r>
      <w:r>
        <w:rPr>
          <w:rStyle w:val="VerbatimChar"/>
        </w:rPr>
        <w:t xml:space="preserve">.mcool</w:t>
      </w:r>
      <w:r>
        <w:t xml:space="preserve">.</w:t>
      </w:r>
      <w:r>
        <w:t xml:space="preserve"> </w:t>
      </w:r>
      <w:r>
        <w:rPr>
          <w:rStyle w:val="VerbatimChar"/>
        </w:rPr>
        <w:t xml:space="preserve">cooler balance</w:t>
      </w:r>
      <w:r>
        <w:t xml:space="preserve"> </w:t>
      </w:r>
      <w:r>
        <w:t xml:space="preserve">will create a new column in the</w:t>
      </w:r>
      <w:r>
        <w:t xml:space="preserve"> </w:t>
      </w:r>
      <w:r>
        <w:rPr>
          <w:rStyle w:val="VerbatimChar"/>
        </w:rPr>
        <w:t xml:space="preserve">bins</w:t>
      </w:r>
      <w:r>
        <w:t xml:space="preserve"> </w:t>
      </w:r>
      <w:r>
        <w:t xml:space="preserve">group of each cooler ,</w:t>
      </w:r>
      <w:r>
        <w:t xml:space="preserve"> </w:t>
      </w:r>
      <w:r>
        <w:rPr>
          <w:rStyle w:val="VerbatimChar"/>
        </w:rPr>
        <w:t xml:space="preserve">weight</w:t>
      </w:r>
      <w:r>
        <w:t xml:space="preserve">, which can then be included or not in the downstream analysis. This means we will have access to both the balanced and the unbalanced matrix.</w:t>
      </w:r>
    </w:p>
    <w:p>
      <w:pPr>
        <w:pStyle w:val="BodyText"/>
      </w:pPr>
      <w:r>
        <w:t xml:space="preserve">The default mode uses genome-wide data to calculate the weights for each bin. It would maybe be more suitable to calculate the weights for</w:t>
      </w:r>
      <w:r>
        <w:t xml:space="preserve"> </w:t>
      </w:r>
      <w:r>
        <w:rPr>
          <w:i/>
          <w:iCs/>
        </w:rPr>
        <w:t xml:space="preserve">cis</w:t>
      </w:r>
      <w:r>
        <w:t xml:space="preserve"> </w:t>
      </w:r>
      <w:r>
        <w:t xml:space="preserve">contacts only, and that is possible through the</w:t>
      </w:r>
      <w:r>
        <w:t xml:space="preserve"> </w:t>
      </w:r>
      <w:r>
        <w:rPr>
          <w:rStyle w:val="VerbatimChar"/>
        </w:rPr>
        <w:t xml:space="preserve">--cis-only</w:t>
      </w:r>
      <w:r>
        <w:t xml:space="preserve"> </w:t>
      </w:r>
      <w:r>
        <w:t xml:space="preserve">flag, and that can be added to another column, so that we can compare the difference between the two methods easily. However, we will only use the default mode for now.</w:t>
      </w:r>
    </w:p>
    <w:bookmarkEnd w:id="40"/>
    <w:bookmarkStart w:id="41" w:name="eigendecomposition"/>
    <w:p>
      <w:pPr>
        <w:pStyle w:val="Heading5"/>
      </w:pPr>
      <w:r>
        <w:t xml:space="preserve">Eigendecomposition</w:t>
      </w:r>
    </w:p>
    <w:p>
      <w:r>
        <w:br w:type="page"/>
      </w:r>
    </w:p>
    <w:bookmarkEnd w:id="41"/>
    <w:bookmarkEnd w:id="42"/>
    <w:bookmarkEnd w:id="43"/>
    <w:bookmarkEnd w:id="44"/>
    <w:bookmarkStart w:id="45" w:name="results"/>
    <w:p>
      <w:pPr>
        <w:pStyle w:val="Heading2"/>
      </w:pPr>
      <w:r>
        <w:t xml:space="preserve">Results</w:t>
      </w:r>
    </w:p>
    <w:p>
      <w:pPr>
        <w:pStyle w:val="FirstParagraph"/>
      </w:pPr>
      <w:r>
        <w:t xml:space="preserve">Here are the glorious results</w:t>
      </w:r>
    </w:p>
    <w:p>
      <w:r>
        <w:br w:type="page"/>
      </w:r>
    </w:p>
    <w:bookmarkEnd w:id="45"/>
    <w:bookmarkStart w:id="46" w:name="discussion"/>
    <w:p>
      <w:pPr>
        <w:pStyle w:val="Heading2"/>
      </w:pPr>
      <w:r>
        <w:t xml:space="preserve">Discussion</w:t>
      </w:r>
    </w:p>
    <w:p>
      <w:pPr>
        <w:pStyle w:val="FirstParagraph"/>
      </w:pPr>
      <w:r>
        <w:t xml:space="preserve">Here is the discussion</w:t>
      </w:r>
    </w:p>
    <w:p>
      <w:r>
        <w:br w:type="page"/>
      </w:r>
    </w:p>
    <w:bookmarkEnd w:id="46"/>
    <w:bookmarkStart w:id="64" w:name="bibliography"/>
    <w:p>
      <w:pPr>
        <w:pStyle w:val="Heading2"/>
      </w:pPr>
      <w:r>
        <w:t xml:space="preserve">Bibliography</w:t>
      </w:r>
    </w:p>
    <w:bookmarkStart w:id="63" w:name="refs"/>
    <w:bookmarkStart w:id="48" w:name="ref-imakaev_iterative_2012"/>
    <w:p>
      <w:pPr>
        <w:pStyle w:val="Bibliography"/>
      </w:pPr>
      <w:r>
        <w:t xml:space="preserve">Imakaev, Maxim, Geoffrey Fudenberg, Rachel Patton McCord, Natalia Naumova, Anton Goloborodko, Bryan R Lajoie, Job Dekker, and Leonid A Mirny. 2012.</w:t>
      </w:r>
      <w:r>
        <w:t xml:space="preserve"> </w:t>
      </w:r>
      <w:r>
        <w:t xml:space="preserve">“Iterative Correction of</w:t>
      </w:r>
      <w:r>
        <w:t xml:space="preserve"> </w:t>
      </w:r>
      <w:r>
        <w:t xml:space="preserve">Hi</w:t>
      </w:r>
      <w:r>
        <w:t xml:space="preserve">-</w:t>
      </w:r>
      <w:r>
        <w:t xml:space="preserve">C</w:t>
      </w:r>
      <w:r>
        <w:t xml:space="preserve"> </w:t>
      </w:r>
      <w:r>
        <w:t xml:space="preserve">Data Reveals Hallmarks of Chromosome Organization.”</w:t>
      </w:r>
      <w:r>
        <w:t xml:space="preserve"> </w:t>
      </w:r>
      <w:r>
        <w:rPr>
          <w:i/>
          <w:iCs/>
        </w:rPr>
        <w:t xml:space="preserve">Nature Methods</w:t>
      </w:r>
      <w:r>
        <w:t xml:space="preserve"> </w:t>
      </w:r>
      <w:r>
        <w:t xml:space="preserve">9 (10): 999–1003.</w:t>
      </w:r>
      <w:r>
        <w:t xml:space="preserve"> </w:t>
      </w:r>
      <w:hyperlink r:id="rId47">
        <w:r>
          <w:rPr>
            <w:rStyle w:val="Hyperlink"/>
          </w:rPr>
          <w:t xml:space="preserve">https://doi.org/10.1038/nmeth.2148</w:t>
        </w:r>
      </w:hyperlink>
      <w:r>
        <w:t xml:space="preserve">.</w:t>
      </w:r>
    </w:p>
    <w:bookmarkEnd w:id="48"/>
    <w:bookmarkStart w:id="50"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49">
        <w:r>
          <w:rPr>
            <w:rStyle w:val="Hyperlink"/>
          </w:rPr>
          <w:t xml:space="preserve">https://doi.org/10.1146/annurev.ecolsys.32.081501.113958</w:t>
        </w:r>
      </w:hyperlink>
      <w:r>
        <w:t xml:space="preserve">.</w:t>
      </w:r>
    </w:p>
    <w:bookmarkEnd w:id="50"/>
    <w:bookmarkStart w:id="52"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51">
        <w:r>
          <w:rPr>
            <w:rStyle w:val="Hyperlink"/>
          </w:rPr>
          <w:t xml:space="preserve">https://doi.org/10.1126/science.1181369</w:t>
        </w:r>
      </w:hyperlink>
      <w:r>
        <w:t xml:space="preserve">.</w:t>
      </w:r>
    </w:p>
    <w:bookmarkEnd w:id="52"/>
    <w:bookmarkStart w:id="54" w:name="ref-munch_group_2024"/>
    <w:p>
      <w:pPr>
        <w:pStyle w:val="Bibliography"/>
      </w:pPr>
      <w:r>
        <w:t xml:space="preserve">Munch, Kasper. 2024.</w:t>
      </w:r>
      <w:r>
        <w:t xml:space="preserve"> </w:t>
      </w:r>
      <w:r>
        <w:t xml:space="preserve">“Munch-Group.”</w:t>
      </w:r>
      <w:r>
        <w:t xml:space="preserve"> </w:t>
      </w:r>
      <w:hyperlink r:id="rId53">
        <w:r>
          <w:rPr>
            <w:rStyle w:val="Hyperlink"/>
          </w:rPr>
          <w:t xml:space="preserve">https://munch-group.org/research.html</w:t>
        </w:r>
      </w:hyperlink>
      <w:r>
        <w:t xml:space="preserve">.</w:t>
      </w:r>
    </w:p>
    <w:bookmarkEnd w:id="54"/>
    <w:bookmarkStart w:id="56"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55">
        <w:r>
          <w:rPr>
            <w:rStyle w:val="Hyperlink"/>
          </w:rPr>
          <w:t xml:space="preserve">https://open2c.github.io/</w:t>
        </w:r>
      </w:hyperlink>
      <w:r>
        <w:t xml:space="preserve">.</w:t>
      </w:r>
    </w:p>
    <w:bookmarkEnd w:id="56"/>
    <w:bookmarkStart w:id="58"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7">
        <w:r>
          <w:rPr>
            <w:rStyle w:val="Hyperlink"/>
          </w:rPr>
          <w:t xml:space="preserve">https://doi.org/10.1016/j.xgen.2023.100274</w:t>
        </w:r>
      </w:hyperlink>
      <w:r>
        <w:t xml:space="preserve">.</w:t>
      </w:r>
    </w:p>
    <w:bookmarkEnd w:id="58"/>
    <w:bookmarkStart w:id="60"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59">
        <w:r>
          <w:rPr>
            <w:rStyle w:val="Hyperlink"/>
          </w:rPr>
          <w:t xml:space="preserve">https://doi.org/10.1126/science.abn8153</w:t>
        </w:r>
      </w:hyperlink>
      <w:r>
        <w:t xml:space="preserve">.</w:t>
      </w:r>
    </w:p>
    <w:bookmarkEnd w:id="60"/>
    <w:bookmarkStart w:id="62"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61">
        <w:r>
          <w:rPr>
            <w:rStyle w:val="Hyperlink"/>
          </w:rPr>
          <w:t xml:space="preserve">https://doi.org/10.1016/j.molcel.2018.11.019</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61" Target="https://doi.org/10.1016/j.molcel.2018.11.019" TargetMode="External" /><Relationship Type="http://schemas.openxmlformats.org/officeDocument/2006/relationships/hyperlink" Id="rId57" Target="https://doi.org/10.1016/j.xgen.2023.100274" TargetMode="External" /><Relationship Type="http://schemas.openxmlformats.org/officeDocument/2006/relationships/hyperlink" Id="rId47" Target="https://doi.org/10.1038/nmeth.2148" TargetMode="External" /><Relationship Type="http://schemas.openxmlformats.org/officeDocument/2006/relationships/hyperlink" Id="rId51" Target="https://doi.org/10.1126/science.1181369" TargetMode="External" /><Relationship Type="http://schemas.openxmlformats.org/officeDocument/2006/relationships/hyperlink" Id="rId59" Target="https://doi.org/10.1126/science.abn8153" TargetMode="External" /><Relationship Type="http://schemas.openxmlformats.org/officeDocument/2006/relationships/hyperlink" Id="rId49" Target="https://doi.org/10.1146/annurev.ecolsys.32.081501.113958" TargetMode="External" /><Relationship Type="http://schemas.openxmlformats.org/officeDocument/2006/relationships/hyperlink" Id="rId53" Target="https://munch-group.org/research.html" TargetMode="External" /><Relationship Type="http://schemas.openxmlformats.org/officeDocument/2006/relationships/hyperlink" Id="rId55" Target="https://open2c.github.io/"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j.molcel.2018.11.019" TargetMode="External" /><Relationship Type="http://schemas.openxmlformats.org/officeDocument/2006/relationships/hyperlink" Id="rId57" Target="https://doi.org/10.1016/j.xgen.2023.100274" TargetMode="External" /><Relationship Type="http://schemas.openxmlformats.org/officeDocument/2006/relationships/hyperlink" Id="rId47" Target="https://doi.org/10.1038/nmeth.2148" TargetMode="External" /><Relationship Type="http://schemas.openxmlformats.org/officeDocument/2006/relationships/hyperlink" Id="rId51" Target="https://doi.org/10.1126/science.1181369" TargetMode="External" /><Relationship Type="http://schemas.openxmlformats.org/officeDocument/2006/relationships/hyperlink" Id="rId59" Target="https://doi.org/10.1126/science.abn8153" TargetMode="External" /><Relationship Type="http://schemas.openxmlformats.org/officeDocument/2006/relationships/hyperlink" Id="rId49" Target="https://doi.org/10.1146/annurev.ecolsys.32.081501.113958" TargetMode="External" /><Relationship Type="http://schemas.openxmlformats.org/officeDocument/2006/relationships/hyperlink" Id="rId53" Target="https://munch-group.org/research.html" TargetMode="External" /><Relationship Type="http://schemas.openxmlformats.org/officeDocument/2006/relationships/hyperlink" Id="rId55" Target="https://open2c.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Søren Jørgensen</dc:creator>
  <cp:keywords>Hi-C, Chromatin Compartments, Selection</cp:keywords>
  <dcterms:created xsi:type="dcterms:W3CDTF">2024-11-28T19:42:09Z</dcterms:created>
  <dcterms:modified xsi:type="dcterms:W3CDTF">2024-11-28T19:42:09Z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2024-11-28</vt:lpwstr>
  </property>
  <property fmtid="{D5CDD505-2E9C-101B-9397-08002B2CF9AE}" pid="9" name="from">
    <vt:lpwstr>markdown+emoji</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3-dimensional structure of chromatin brings light onto the mystery of selfish genes.</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How Edges of Active Chromatin Align with Selection Regions in Primates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