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THE JONES FAMILY REVOCABLE LIVING TRUST</w:t>
      </w:r>
    </w:p>
    <w:p>
      <w:pPr>
        <w:pStyle w:val="Heading1"/>
      </w:pPr>
      <w:r>
        <w:t>Article I: Beneficiaries</w:t>
      </w:r>
    </w:p>
    <w:p>
      <w:r>
        <w:t>The following individuals are designated as primary beneficiaries of this trust:</w:t>
      </w:r>
    </w:p>
    <w:p>
      <w:r>
        <w:t xml:space="preserve">Timmy Jones (Grandson)</w:t>
      </w:r>
    </w:p>
    <w:p>
      <w:pPr>
        <w:pStyle w:val="Heading1"/>
      </w:pPr>
      <w:r>
        <w:t>Article II: Trust for Minors</w:t>
      </w:r>
    </w:p>
    <w:p>
      <w:r>
        <w:t xml:space="preserve">If any beneficiary is a minor at the time of distribution, their share shall be held in a separate trust for their benefit until they reach the age of twenty-five (25).</w:t>
      </w:r>
    </w:p>
    <w:p>
      <w:pPr>
        <w:pStyle w:val="Heading1"/>
      </w:pPr>
      <w:r>
        <w:t>Article III: Distribution</w:t>
      </w:r>
    </w:p>
    <w:p>
      <w:r>
        <w:t>All remaining trust assets shall be distributed according to the terms specified in the schedule of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