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GEOVANI</w:t>
      </w:r>
    </w:p>
    <w:p>
      <w:pPr>
        <w:jc w:val="center"/>
      </w:pPr>
      <w:r>
        <w:rPr>
          <w:b/>
          <w:sz w:val="32"/>
        </w:rPr>
        <w:t>Research Evidence and Case Study Report</w:t>
      </w:r>
    </w:p>
    <w:p>
      <w:pPr>
        <w:jc w:val="center"/>
      </w:pPr>
      <w:r>
        <w:rPr>
          <w:i/>
          <w:sz w:val="20"/>
        </w:rPr>
        <w:t>AI-Powered Geological, Mining and Reporting Solution for CMPDI/CIL Subsidiaries | SIH26023</w:t>
      </w:r>
    </w:p>
    <w:p/>
    <w:tbl>
      <w:tblPr>
        <w:tblStyle w:val="TableGrid"/>
        <w:tblW w:type="auto" w:w="0"/>
        <w:tblLook w:firstColumn="1" w:firstRow="1" w:lastColumn="0" w:lastRow="0" w:noHBand="0" w:noVBand="1" w:val="04A0"/>
      </w:tblPr>
      <w:tblGrid>
        <w:gridCol w:w="5184"/>
        <w:gridCol w:w="5184"/>
      </w:tblGrid>
      <w:tr>
        <w:tc>
          <w:tcPr>
            <w:tcW w:type="dxa" w:w="5184"/>
            <w:shd w:fill="123B5D"/>
          </w:tcPr>
          <w:p>
            <w:r/>
            <w:r>
              <w:rPr>
                <w:b/>
                <w:sz w:val="17"/>
              </w:rPr>
              <w:t>Document Attribute</w:t>
            </w:r>
          </w:p>
        </w:tc>
        <w:tc>
          <w:tcPr>
            <w:tcW w:type="dxa" w:w="5184"/>
            <w:shd w:fill="123B5D"/>
          </w:tcPr>
          <w:p>
            <w:r/>
            <w:r>
              <w:rPr>
                <w:b/>
                <w:sz w:val="17"/>
              </w:rPr>
              <w:t>Details</w:t>
            </w:r>
          </w:p>
        </w:tc>
      </w:tr>
      <w:tr>
        <w:tc>
          <w:tcPr>
            <w:tcW w:type="dxa" w:w="5184"/>
          </w:tcPr>
          <w:p>
            <w:r/>
            <w:r>
              <w:rPr>
                <w:b w:val="0"/>
                <w:sz w:val="17"/>
              </w:rPr>
              <w:t>Purpose</w:t>
            </w:r>
          </w:p>
        </w:tc>
        <w:tc>
          <w:tcPr>
            <w:tcW w:type="dxa" w:w="5184"/>
          </w:tcPr>
          <w:p>
            <w:r/>
            <w:r>
              <w:rPr>
                <w:b w:val="0"/>
                <w:sz w:val="17"/>
              </w:rPr>
              <w:t>Consolidated research evidence, feasibility assessment, existing-platform study and implementation case study for SIH26023</w:t>
            </w:r>
          </w:p>
        </w:tc>
      </w:tr>
      <w:tr>
        <w:tc>
          <w:tcPr>
            <w:tcW w:type="dxa" w:w="5184"/>
          </w:tcPr>
          <w:p>
            <w:r/>
            <w:r>
              <w:rPr>
                <w:b w:val="0"/>
                <w:sz w:val="17"/>
              </w:rPr>
              <w:t>Problem Statement</w:t>
            </w:r>
          </w:p>
        </w:tc>
        <w:tc>
          <w:tcPr>
            <w:tcW w:type="dxa" w:w="5184"/>
          </w:tcPr>
          <w:p>
            <w:r/>
            <w:r>
              <w:rPr>
                <w:b w:val="0"/>
                <w:sz w:val="17"/>
              </w:rPr>
              <w:t>AI-Powered Geological, Mining and other Reporting Solution for CMPDI/CIL subsidiaries</w:t>
            </w:r>
          </w:p>
        </w:tc>
      </w:tr>
      <w:tr>
        <w:tc>
          <w:tcPr>
            <w:tcW w:type="dxa" w:w="5184"/>
          </w:tcPr>
          <w:p>
            <w:r/>
            <w:r>
              <w:rPr>
                <w:b w:val="0"/>
                <w:sz w:val="17"/>
              </w:rPr>
              <w:t>Proposed Product</w:t>
            </w:r>
          </w:p>
        </w:tc>
        <w:tc>
          <w:tcPr>
            <w:tcW w:type="dxa" w:w="5184"/>
          </w:tcPr>
          <w:p>
            <w:r/>
            <w:r>
              <w:rPr>
                <w:b w:val="0"/>
                <w:sz w:val="17"/>
              </w:rPr>
              <w:t>GEOVANI – evidence-first reporting intelligence platform</w:t>
            </w:r>
          </w:p>
        </w:tc>
      </w:tr>
      <w:tr>
        <w:tc>
          <w:tcPr>
            <w:tcW w:type="dxa" w:w="5184"/>
          </w:tcPr>
          <w:p>
            <w:r/>
            <w:r>
              <w:rPr>
                <w:b w:val="0"/>
                <w:sz w:val="17"/>
              </w:rPr>
              <w:t>Prepared For</w:t>
            </w:r>
          </w:p>
        </w:tc>
        <w:tc>
          <w:tcPr>
            <w:tcW w:type="dxa" w:w="5184"/>
          </w:tcPr>
          <w:p>
            <w:r/>
            <w:r>
              <w:rPr>
                <w:b w:val="0"/>
                <w:sz w:val="17"/>
              </w:rPr>
              <w:t>Smart India Hackathon research, team alignment, presentation and prototype planning</w:t>
            </w:r>
          </w:p>
        </w:tc>
      </w:tr>
      <w:tr>
        <w:tc>
          <w:tcPr>
            <w:tcW w:type="dxa" w:w="5184"/>
          </w:tcPr>
          <w:p>
            <w:r/>
            <w:r>
              <w:rPr>
                <w:b w:val="0"/>
                <w:sz w:val="17"/>
              </w:rPr>
              <w:t>Document Status</w:t>
            </w:r>
          </w:p>
        </w:tc>
        <w:tc>
          <w:tcPr>
            <w:tcW w:type="dxa" w:w="5184"/>
          </w:tcPr>
          <w:p>
            <w:r/>
            <w:r>
              <w:rPr>
                <w:b w:val="0"/>
                <w:sz w:val="17"/>
              </w:rPr>
              <w:t>Research synthesis / case-study report</w:t>
            </w:r>
          </w:p>
        </w:tc>
      </w:tr>
      <w:tr>
        <w:tc>
          <w:tcPr>
            <w:tcW w:type="dxa" w:w="5184"/>
          </w:tcPr>
          <w:p>
            <w:r/>
            <w:r>
              <w:rPr>
                <w:b w:val="0"/>
                <w:sz w:val="17"/>
              </w:rPr>
              <w:t>Important Evidence Rule</w:t>
            </w:r>
          </w:p>
        </w:tc>
        <w:tc>
          <w:tcPr>
            <w:tcW w:type="dxa" w:w="5184"/>
          </w:tcPr>
          <w:p>
            <w:r/>
            <w:r>
              <w:rPr>
                <w:b w:val="0"/>
                <w:sz w:val="17"/>
              </w:rPr>
              <w:t>Public documents and research sources are used for prototype research. Internal CMPDI/CIL data access must be formally authorized before production deployment.</w:t>
            </w:r>
          </w:p>
        </w:tc>
      </w:tr>
    </w:tbl>
    <w:p/>
    <w:p>
      <w:pPr>
        <w:pStyle w:val="Heading1"/>
      </w:pPr>
      <w:r>
        <w:t>1. Executive Summary</w:t>
      </w:r>
    </w:p>
    <w:p>
      <w:r>
        <w:t>GEOVANI is a proposed secure, role-based web platform that converts scattered geological, mining, production and administrative records into searchable knowledge, validated structured facts, source-cited answers, recurring-issue insights and approval-ready reports. The solution directly addresses SIH26023, where CMPDI/CIL subsidiaries must compile information from scanned PDFs, digital documents, spreadsheets, images and historical archives to respond to Ministry of Coal, parliamentary and high-priority administrative requests.</w:t>
      </w:r>
    </w:p>
    <w:p>
      <w:r>
        <w:t>The research supports the feasibility of GEOVANI through four independent evidence streams: (1) official Indian coal-sector data and Ministry of Coal AI/ML initiatives; (2) geological document digitalization research; (3) OCR, document-RAG and citation-reliability research; and (4) Indian parliamentary RAG research. Existing platforms validate individual parts of the solution, but the research gap is a single CMPDI/CIL-specific workflow that combines structured production/ERP data, unstructured historical documents, page-level evidence, conflict detection, topic intelligence, report generation and human approval.</w:t>
      </w:r>
    </w:p>
    <w:p>
      <w:pPr>
        <w:pStyle w:val="Heading1"/>
      </w:pPr>
      <w:r>
        <w:t>2. Problem Statement and Research Question</w:t>
      </w:r>
    </w:p>
    <w:p>
      <w:pPr>
        <w:pStyle w:val="Heading2"/>
      </w:pPr>
      <w:r>
        <w:t>2.1 Official Problem Context</w:t>
      </w:r>
    </w:p>
    <w:p>
      <w:r>
        <w:t>The SIH26023 problem statement describes a manual reporting ecosystem in which CMPDI/CIL subsidiaries must compile geological, mining and production information from heterogeneous sources. It explicitly requests three outcomes: automated report generation, automated word cloud/topic identification, and an AI-based query-response system.</w:t>
      </w:r>
    </w:p>
    <w:tbl>
      <w:tblPr>
        <w:tblStyle w:val="TableGrid"/>
        <w:tblW w:type="auto" w:w="0"/>
        <w:tblLook w:firstColumn="1" w:firstRow="1" w:lastColumn="0" w:lastRow="0" w:noHBand="0" w:noVBand="1" w:val="04A0"/>
      </w:tblPr>
      <w:tblGrid>
        <w:gridCol w:w="5184"/>
        <w:gridCol w:w="5184"/>
      </w:tblGrid>
      <w:tr>
        <w:tc>
          <w:tcPr>
            <w:tcW w:type="dxa" w:w="5184"/>
            <w:shd w:fill="123B5D"/>
          </w:tcPr>
          <w:p>
            <w:r/>
            <w:r>
              <w:rPr>
                <w:b/>
                <w:sz w:val="17"/>
              </w:rPr>
              <w:t>Research Question</w:t>
            </w:r>
          </w:p>
        </w:tc>
        <w:tc>
          <w:tcPr>
            <w:tcW w:type="dxa" w:w="5184"/>
            <w:shd w:fill="123B5D"/>
          </w:tcPr>
          <w:p>
            <w:r/>
            <w:r>
              <w:rPr>
                <w:b/>
                <w:sz w:val="17"/>
              </w:rPr>
              <w:t>GEOVANI Response</w:t>
            </w:r>
          </w:p>
        </w:tc>
      </w:tr>
      <w:tr>
        <w:tc>
          <w:tcPr>
            <w:tcW w:type="dxa" w:w="5184"/>
          </w:tcPr>
          <w:p>
            <w:r/>
            <w:r>
              <w:rPr>
                <w:b w:val="0"/>
                <w:sz w:val="17"/>
              </w:rPr>
              <w:t>How can documents be processed?</w:t>
            </w:r>
          </w:p>
        </w:tc>
        <w:tc>
          <w:tcPr>
            <w:tcW w:type="dxa" w:w="5184"/>
          </w:tcPr>
          <w:p>
            <w:r/>
            <w:r>
              <w:rPr>
                <w:b w:val="0"/>
                <w:sz w:val="17"/>
              </w:rPr>
              <w:t>OCR/text extraction, document classification, page-aware chunking and structured field extraction.</w:t>
            </w:r>
          </w:p>
        </w:tc>
      </w:tr>
      <w:tr>
        <w:tc>
          <w:tcPr>
            <w:tcW w:type="dxa" w:w="5184"/>
          </w:tcPr>
          <w:p>
            <w:r/>
            <w:r>
              <w:rPr>
                <w:b w:val="0"/>
                <w:sz w:val="17"/>
              </w:rPr>
              <w:t>How can facts be trusted?</w:t>
            </w:r>
          </w:p>
        </w:tc>
        <w:tc>
          <w:tcPr>
            <w:tcW w:type="dxa" w:w="5184"/>
          </w:tcPr>
          <w:p>
            <w:r/>
            <w:r>
              <w:rPr>
                <w:b w:val="0"/>
                <w:sz w:val="17"/>
              </w:rPr>
              <w:t>Source page preservation, validation rules, conflict detection, reviewer verification and approval status.</w:t>
            </w:r>
          </w:p>
        </w:tc>
      </w:tr>
      <w:tr>
        <w:tc>
          <w:tcPr>
            <w:tcW w:type="dxa" w:w="5184"/>
          </w:tcPr>
          <w:p>
            <w:r/>
            <w:r>
              <w:rPr>
                <w:b w:val="0"/>
                <w:sz w:val="17"/>
              </w:rPr>
              <w:t>How can officers retrieve answers?</w:t>
            </w:r>
          </w:p>
        </w:tc>
        <w:tc>
          <w:tcPr>
            <w:tcW w:type="dxa" w:w="5184"/>
          </w:tcPr>
          <w:p>
            <w:r/>
            <w:r>
              <w:rPr>
                <w:b w:val="0"/>
                <w:sz w:val="17"/>
              </w:rPr>
              <w:t>Access-controlled keyword/semantic retrieval and evidence-first RAG.</w:t>
            </w:r>
          </w:p>
        </w:tc>
      </w:tr>
      <w:tr>
        <w:tc>
          <w:tcPr>
            <w:tcW w:type="dxa" w:w="5184"/>
          </w:tcPr>
          <w:p>
            <w:r/>
            <w:r>
              <w:rPr>
                <w:b w:val="0"/>
                <w:sz w:val="17"/>
              </w:rPr>
              <w:t>How can insights be discovered?</w:t>
            </w:r>
          </w:p>
        </w:tc>
        <w:tc>
          <w:tcPr>
            <w:tcW w:type="dxa" w:w="5184"/>
          </w:tcPr>
          <w:p>
            <w:r/>
            <w:r>
              <w:rPr>
                <w:b w:val="0"/>
                <w:sz w:val="17"/>
              </w:rPr>
              <w:t>TF-IDF, phrase extraction, predefined mining topics and evidence-linked trend analysis.</w:t>
            </w:r>
          </w:p>
        </w:tc>
      </w:tr>
      <w:tr>
        <w:tc>
          <w:tcPr>
            <w:tcW w:type="dxa" w:w="5184"/>
          </w:tcPr>
          <w:p>
            <w:r/>
            <w:r>
              <w:rPr>
                <w:b w:val="0"/>
                <w:sz w:val="17"/>
              </w:rPr>
              <w:t>How can reports be created faster?</w:t>
            </w:r>
          </w:p>
        </w:tc>
        <w:tc>
          <w:tcPr>
            <w:tcW w:type="dxa" w:w="5184"/>
          </w:tcPr>
          <w:p>
            <w:r/>
            <w:r>
              <w:rPr>
                <w:b w:val="0"/>
                <w:sz w:val="17"/>
              </w:rPr>
              <w:t>Template-driven report generation using verified facts and backend calculations.</w:t>
            </w:r>
          </w:p>
        </w:tc>
      </w:tr>
    </w:tbl>
    <w:p/>
    <w:p>
      <w:pPr>
        <w:pStyle w:val="Heading1"/>
      </w:pPr>
      <w:r>
        <w:t>3. Case Study: Current vs Proposed Workflow</w:t>
      </w:r>
    </w:p>
    <w:p>
      <w:pPr>
        <w:pStyle w:val="Heading2"/>
      </w:pPr>
      <w:r>
        <w:t>3.1 Current Manual Workflow</w:t>
      </w:r>
    </w:p>
    <w:p>
      <w:pPr>
        <w:pStyle w:val="ListNumber"/>
      </w:pPr>
      <w:r>
        <w:t>A Ministry, CIL HQ or parliamentary query arrives.</w:t>
      </w:r>
    </w:p>
    <w:p>
      <w:pPr>
        <w:pStyle w:val="ListNumber"/>
      </w:pPr>
      <w:r>
        <w:t>Officer searches annual reports, scanned PDFs, Excel files, geological reports, maps and archives.</w:t>
      </w:r>
    </w:p>
    <w:p>
      <w:pPr>
        <w:pStyle w:val="ListNumber"/>
      </w:pPr>
      <w:r>
        <w:t>Officer manually copies values, checks terms/units/years and reconciles multiple sources.</w:t>
      </w:r>
    </w:p>
    <w:p>
      <w:pPr>
        <w:pStyle w:val="ListNumber"/>
      </w:pPr>
      <w:r>
        <w:t>Officer consults individual experts for historical context or conflicts.</w:t>
      </w:r>
    </w:p>
    <w:p>
      <w:pPr>
        <w:pStyle w:val="ListNumber"/>
      </w:pPr>
      <w:r>
        <w:t>Officer drafts a response/report manually and sends it for review.</w:t>
      </w:r>
    </w:p>
    <w:p>
      <w:pPr>
        <w:pStyle w:val="ListNumber"/>
      </w:pPr>
      <w:r>
        <w:t>Final source traceability may be difficult when the query is urgent.</w:t>
      </w:r>
    </w:p>
    <w:p>
      <w:pPr>
        <w:pStyle w:val="Heading2"/>
      </w:pPr>
      <w:r>
        <w:t>3.2 Risks in Current Workflow</w:t>
      </w:r>
    </w:p>
    <w:p>
      <w:pPr>
        <w:pStyle w:val="ListBullet"/>
      </w:pPr>
      <w:r>
        <w:t>Delay in responding to time-sensitive and parliamentary questions.</w:t>
      </w:r>
    </w:p>
    <w:p>
      <w:pPr>
        <w:pStyle w:val="ListBullet"/>
      </w:pPr>
      <w:r>
        <w:t>Manual transcription, wrong unit, wrong year and copy-paste errors.</w:t>
      </w:r>
    </w:p>
    <w:p>
      <w:pPr>
        <w:pStyle w:val="ListBullet"/>
      </w:pPr>
      <w:r>
        <w:t>High dependency on specific officers with historical knowledge.</w:t>
      </w:r>
    </w:p>
    <w:p>
      <w:pPr>
        <w:pStyle w:val="ListBullet"/>
      </w:pPr>
      <w:r>
        <w:t>Difficulty comparing historical and contemporary data consistently.</w:t>
      </w:r>
    </w:p>
    <w:p>
      <w:pPr>
        <w:pStyle w:val="ListBullet"/>
      </w:pPr>
      <w:r>
        <w:t>Potential conflict between provisional/final figures or different reports.</w:t>
      </w:r>
    </w:p>
    <w:p>
      <w:pPr>
        <w:pStyle w:val="ListBullet"/>
      </w:pPr>
      <w:r>
        <w:t>Limited ability to discover recurring themes across thousands of documents.</w:t>
      </w:r>
    </w:p>
    <w:p>
      <w:pPr>
        <w:pStyle w:val="Heading2"/>
      </w:pPr>
      <w:r>
        <w:t>3.3 GEOVANI Proposed Workflow</w:t>
      </w:r>
    </w:p>
    <w:p>
      <w:r>
        <w:t>Authorized Documents + SAP/ERP Exports → OCR/Text Extraction → Structured Extraction → Validation/Conflict Detection → Secure Evidence Repository → Query &amp; Response / Topic Intelligence / Report Generation → Reviewer Verification → Approver Release</w:t>
      </w:r>
    </w:p>
    <w:p>
      <w:pPr>
        <w:pStyle w:val="Heading1"/>
      </w:pPr>
      <w:r>
        <w:t>4. Evidence of Domain Need</w:t>
      </w:r>
    </w:p>
    <w:p>
      <w:pPr>
        <w:pStyle w:val="Heading2"/>
      </w:pPr>
      <w:r>
        <w:t>4.1 Official Coal-Sector Evidence</w:t>
      </w:r>
    </w:p>
    <w:tbl>
      <w:tblPr>
        <w:tblStyle w:val="TableGrid"/>
        <w:tblW w:type="auto" w:w="0"/>
        <w:tblLook w:firstColumn="1" w:firstRow="1" w:lastColumn="0" w:lastRow="0" w:noHBand="0" w:noVBand="1" w:val="04A0"/>
      </w:tblPr>
      <w:tblGrid>
        <w:gridCol w:w="2592"/>
        <w:gridCol w:w="2592"/>
        <w:gridCol w:w="2592"/>
        <w:gridCol w:w="2592"/>
      </w:tblGrid>
      <w:tr>
        <w:tc>
          <w:tcPr>
            <w:tcW w:type="dxa" w:w="2592"/>
            <w:shd w:fill="123B5D"/>
          </w:tcPr>
          <w:p>
            <w:r/>
            <w:r>
              <w:rPr>
                <w:b/>
                <w:sz w:val="17"/>
              </w:rPr>
              <w:t>Evidence</w:t>
            </w:r>
          </w:p>
        </w:tc>
        <w:tc>
          <w:tcPr>
            <w:tcW w:type="dxa" w:w="2592"/>
            <w:shd w:fill="123B5D"/>
          </w:tcPr>
          <w:p>
            <w:r/>
            <w:r>
              <w:rPr>
                <w:b/>
                <w:sz w:val="17"/>
              </w:rPr>
              <w:t>Finding</w:t>
            </w:r>
          </w:p>
        </w:tc>
        <w:tc>
          <w:tcPr>
            <w:tcW w:type="dxa" w:w="2592"/>
            <w:shd w:fill="123B5D"/>
          </w:tcPr>
          <w:p>
            <w:r/>
            <w:r>
              <w:rPr>
                <w:b/>
                <w:sz w:val="17"/>
              </w:rPr>
              <w:t>Why It Matters to GEOVANI</w:t>
            </w:r>
          </w:p>
        </w:tc>
        <w:tc>
          <w:tcPr>
            <w:tcW w:type="dxa" w:w="2592"/>
            <w:shd w:fill="123B5D"/>
          </w:tcPr>
          <w:p>
            <w:r/>
            <w:r>
              <w:rPr>
                <w:b/>
                <w:sz w:val="17"/>
              </w:rPr>
              <w:t>Source</w:t>
            </w:r>
          </w:p>
        </w:tc>
      </w:tr>
      <w:tr>
        <w:tc>
          <w:tcPr>
            <w:tcW w:type="dxa" w:w="2592"/>
          </w:tcPr>
          <w:p>
            <w:r/>
            <w:r>
              <w:rPr>
                <w:b w:val="0"/>
                <w:sz w:val="17"/>
              </w:rPr>
              <w:t>Ministry of Coal annual reports</w:t>
            </w:r>
          </w:p>
        </w:tc>
        <w:tc>
          <w:tcPr>
            <w:tcW w:type="dxa" w:w="2592"/>
          </w:tcPr>
          <w:p>
            <w:r/>
            <w:r>
              <w:rPr>
                <w:b w:val="0"/>
                <w:sz w:val="17"/>
              </w:rPr>
              <w:t>Official annual-report ecosystem provides production, policy and statistical records.</w:t>
            </w:r>
          </w:p>
        </w:tc>
        <w:tc>
          <w:tcPr>
            <w:tcW w:type="dxa" w:w="2592"/>
          </w:tcPr>
          <w:p>
            <w:r/>
            <w:r>
              <w:rPr>
                <w:b w:val="0"/>
                <w:sz w:val="17"/>
              </w:rPr>
              <w:t>Confirms the sector has recurring reporting/data needs and official documentary sources.</w:t>
            </w:r>
          </w:p>
        </w:tc>
        <w:tc>
          <w:tcPr>
            <w:tcW w:type="dxa" w:w="2592"/>
          </w:tcPr>
          <w:p>
            <w:r/>
            <w:r>
              <w:rPr>
                <w:b w:val="0"/>
                <w:sz w:val="17"/>
              </w:rPr>
              <w:t>Ministry of Coal annual-report portal</w:t>
            </w:r>
          </w:p>
        </w:tc>
      </w:tr>
      <w:tr>
        <w:tc>
          <w:tcPr>
            <w:tcW w:type="dxa" w:w="2592"/>
          </w:tcPr>
          <w:p>
            <w:r/>
            <w:r>
              <w:rPr>
                <w:b w:val="0"/>
                <w:sz w:val="17"/>
              </w:rPr>
              <w:t>CIL annual reports and subsidiary reporting</w:t>
            </w:r>
          </w:p>
        </w:tc>
        <w:tc>
          <w:tcPr>
            <w:tcW w:type="dxa" w:w="2592"/>
          </w:tcPr>
          <w:p>
            <w:r/>
            <w:r>
              <w:rPr>
                <w:b w:val="0"/>
                <w:sz w:val="17"/>
              </w:rPr>
              <w:t>CIL publicly maintains annual reports and subsidiary information.</w:t>
            </w:r>
          </w:p>
        </w:tc>
        <w:tc>
          <w:tcPr>
            <w:tcW w:type="dxa" w:w="2592"/>
          </w:tcPr>
          <w:p>
            <w:r/>
            <w:r>
              <w:rPr>
                <w:b w:val="0"/>
                <w:sz w:val="17"/>
              </w:rPr>
              <w:t>Confirms multi-subsidiary reporting environment and historical documents.</w:t>
            </w:r>
          </w:p>
        </w:tc>
        <w:tc>
          <w:tcPr>
            <w:tcW w:type="dxa" w:w="2592"/>
          </w:tcPr>
          <w:p>
            <w:r/>
            <w:r>
              <w:rPr>
                <w:b w:val="0"/>
                <w:sz w:val="17"/>
              </w:rPr>
              <w:t>Coal India annual-report portal</w:t>
            </w:r>
          </w:p>
        </w:tc>
      </w:tr>
      <w:tr>
        <w:tc>
          <w:tcPr>
            <w:tcW w:type="dxa" w:w="2592"/>
          </w:tcPr>
          <w:p>
            <w:r/>
            <w:r>
              <w:rPr>
                <w:b w:val="0"/>
                <w:sz w:val="17"/>
              </w:rPr>
              <w:t>CMPDI reports</w:t>
            </w:r>
          </w:p>
        </w:tc>
        <w:tc>
          <w:tcPr>
            <w:tcW w:type="dxa" w:w="2592"/>
          </w:tcPr>
          <w:p>
            <w:r/>
            <w:r>
              <w:rPr>
                <w:b w:val="0"/>
                <w:sz w:val="17"/>
              </w:rPr>
              <w:t>CMPDI publishes annual/technical context related to exploration, drilling and geological activities.</w:t>
            </w:r>
          </w:p>
        </w:tc>
        <w:tc>
          <w:tcPr>
            <w:tcW w:type="dxa" w:w="2592"/>
          </w:tcPr>
          <w:p>
            <w:r/>
            <w:r>
              <w:rPr>
                <w:b w:val="0"/>
                <w:sz w:val="17"/>
              </w:rPr>
              <w:t>Validates geological-report and exploration-document component.</w:t>
            </w:r>
          </w:p>
        </w:tc>
        <w:tc>
          <w:tcPr>
            <w:tcW w:type="dxa" w:w="2592"/>
          </w:tcPr>
          <w:p>
            <w:r/>
            <w:r>
              <w:rPr>
                <w:b w:val="0"/>
                <w:sz w:val="17"/>
              </w:rPr>
              <w:t>CMPDI reports portal</w:t>
            </w:r>
          </w:p>
        </w:tc>
      </w:tr>
      <w:tr>
        <w:tc>
          <w:tcPr>
            <w:tcW w:type="dxa" w:w="2592"/>
          </w:tcPr>
          <w:p>
            <w:r/>
            <w:r>
              <w:rPr>
                <w:b w:val="0"/>
                <w:sz w:val="17"/>
              </w:rPr>
              <w:t>Ministry AI/ML initiative</w:t>
            </w:r>
          </w:p>
        </w:tc>
        <w:tc>
          <w:tcPr>
            <w:tcW w:type="dxa" w:w="2592"/>
          </w:tcPr>
          <w:p>
            <w:r/>
            <w:r>
              <w:rPr>
                <w:b w:val="0"/>
                <w:sz w:val="17"/>
              </w:rPr>
              <w:t>Ministry annual-report material refers to an in-house AI/ML module for automatic interpretation of geophysical log data and notes improved accuracy/reduced interpretation time.</w:t>
            </w:r>
          </w:p>
        </w:tc>
        <w:tc>
          <w:tcPr>
            <w:tcW w:type="dxa" w:w="2592"/>
          </w:tcPr>
          <w:p>
            <w:r/>
            <w:r>
              <w:rPr>
                <w:b w:val="0"/>
                <w:sz w:val="17"/>
              </w:rPr>
              <w:t>Official evidence that AI/ML use in Indian coal/geological workflow is feasible and relevant.</w:t>
            </w:r>
          </w:p>
        </w:tc>
        <w:tc>
          <w:tcPr>
            <w:tcW w:type="dxa" w:w="2592"/>
          </w:tcPr>
          <w:p>
            <w:r/>
            <w:r>
              <w:rPr>
                <w:b w:val="0"/>
                <w:sz w:val="17"/>
              </w:rPr>
              <w:t>Ministry of Coal Annual Report 2024–25 extract</w:t>
            </w:r>
          </w:p>
        </w:tc>
      </w:tr>
    </w:tbl>
    <w:p/>
    <w:p>
      <w:r>
        <w:t>Research conclusion: The coal sector already produces a high volume of structured and unstructured records, and official Ministry material demonstrates that AI/ML methods are being applied to geological/geophysical interpretation. GEOVANI extends this direction into document intelligence, reporting and governance workflows.</w:t>
      </w:r>
    </w:p>
    <w:p>
      <w:pPr>
        <w:pStyle w:val="Heading1"/>
      </w:pPr>
      <w:r>
        <w:t>5. Evidence: Geological Document Intelligence</w:t>
      </w:r>
    </w:p>
    <w:tbl>
      <w:tblPr>
        <w:tblStyle w:val="TableGrid"/>
        <w:tblW w:type="auto" w:w="0"/>
        <w:tblLook w:firstColumn="1" w:firstRow="1" w:lastColumn="0" w:lastRow="0" w:noHBand="0" w:noVBand="1" w:val="04A0"/>
      </w:tblPr>
      <w:tblGrid>
        <w:gridCol w:w="2592"/>
        <w:gridCol w:w="2592"/>
        <w:gridCol w:w="2592"/>
        <w:gridCol w:w="2592"/>
      </w:tblGrid>
      <w:tr>
        <w:tc>
          <w:tcPr>
            <w:tcW w:type="dxa" w:w="2592"/>
            <w:shd w:fill="123B5D"/>
          </w:tcPr>
          <w:p>
            <w:r/>
            <w:r>
              <w:rPr>
                <w:b/>
                <w:sz w:val="17"/>
              </w:rPr>
              <w:t>Paper / Evidence</w:t>
            </w:r>
          </w:p>
        </w:tc>
        <w:tc>
          <w:tcPr>
            <w:tcW w:type="dxa" w:w="2592"/>
            <w:shd w:fill="123B5D"/>
          </w:tcPr>
          <w:p>
            <w:r/>
            <w:r>
              <w:rPr>
                <w:b/>
                <w:sz w:val="17"/>
              </w:rPr>
              <w:t>Core Finding</w:t>
            </w:r>
          </w:p>
        </w:tc>
        <w:tc>
          <w:tcPr>
            <w:tcW w:type="dxa" w:w="2592"/>
            <w:shd w:fill="123B5D"/>
          </w:tcPr>
          <w:p>
            <w:r/>
            <w:r>
              <w:rPr>
                <w:b/>
                <w:sz w:val="17"/>
              </w:rPr>
              <w:t>GEOVANI Design Decision Supported</w:t>
            </w:r>
          </w:p>
        </w:tc>
        <w:tc>
          <w:tcPr>
            <w:tcW w:type="dxa" w:w="2592"/>
            <w:shd w:fill="123B5D"/>
          </w:tcPr>
          <w:p>
            <w:r/>
            <w:r>
              <w:rPr>
                <w:b/>
                <w:sz w:val="17"/>
              </w:rPr>
              <w:t>Link</w:t>
            </w:r>
          </w:p>
        </w:tc>
      </w:tr>
      <w:tr>
        <w:tc>
          <w:tcPr>
            <w:tcW w:type="dxa" w:w="2592"/>
          </w:tcPr>
          <w:p>
            <w:r/>
            <w:r>
              <w:rPr>
                <w:b w:val="0"/>
                <w:sz w:val="17"/>
              </w:rPr>
              <w:t>Advancing Geologic Document Digitalization and Information Retrieval with Generative AI (2025)</w:t>
            </w:r>
          </w:p>
        </w:tc>
        <w:tc>
          <w:tcPr>
            <w:tcW w:type="dxa" w:w="2592"/>
          </w:tcPr>
          <w:p>
            <w:r/>
            <w:r>
              <w:rPr>
                <w:b w:val="0"/>
                <w:sz w:val="17"/>
              </w:rPr>
              <w:t>Generative AI can assist geoscientific document processing, including text analysis, table extraction and figure classification.</w:t>
            </w:r>
          </w:p>
        </w:tc>
        <w:tc>
          <w:tcPr>
            <w:tcW w:type="dxa" w:w="2592"/>
          </w:tcPr>
          <w:p>
            <w:r/>
            <w:r>
              <w:rPr>
                <w:b w:val="0"/>
                <w:sz w:val="17"/>
              </w:rPr>
              <w:t>Use OCR/layout extraction, page-aware document processing and geological entity retrieval.</w:t>
            </w:r>
          </w:p>
        </w:tc>
        <w:tc>
          <w:tcPr>
            <w:tcW w:type="dxa" w:w="2592"/>
          </w:tcPr>
          <w:p>
            <w:r/>
            <w:r>
              <w:rPr>
                <w:b w:val="0"/>
                <w:sz w:val="17"/>
              </w:rPr>
              <w:t>https://www.viridiengroup.com/sites/default/files/2025-02/advancing-geologic-document-digitalization-Information-retrieval-gen-ai-viridien-tle-article-feb-2025.pdf</w:t>
            </w:r>
          </w:p>
        </w:tc>
      </w:tr>
      <w:tr>
        <w:tc>
          <w:tcPr>
            <w:tcW w:type="dxa" w:w="2592"/>
          </w:tcPr>
          <w:p>
            <w:r/>
            <w:r>
              <w:rPr>
                <w:b w:val="0"/>
                <w:sz w:val="17"/>
              </w:rPr>
              <w:t>Semantic Information Extraction and Search of Mineral Exploration Data Using Text Mining and Deep Learning Methods (2024)</w:t>
            </w:r>
          </w:p>
        </w:tc>
        <w:tc>
          <w:tcPr>
            <w:tcW w:type="dxa" w:w="2592"/>
          </w:tcPr>
          <w:p>
            <w:r/>
            <w:r>
              <w:rPr>
                <w:b w:val="0"/>
                <w:sz w:val="17"/>
              </w:rPr>
              <w:t>Demonstrates information extraction and semantic search in mineral-exploration text.</w:t>
            </w:r>
          </w:p>
        </w:tc>
        <w:tc>
          <w:tcPr>
            <w:tcW w:type="dxa" w:w="2592"/>
          </w:tcPr>
          <w:p>
            <w:r/>
            <w:r>
              <w:rPr>
                <w:b w:val="0"/>
                <w:sz w:val="17"/>
              </w:rPr>
              <w:t>Use domain entity extraction, semantic retrieval and exploration-report search.</w:t>
            </w:r>
          </w:p>
        </w:tc>
        <w:tc>
          <w:tcPr>
            <w:tcW w:type="dxa" w:w="2592"/>
          </w:tcPr>
          <w:p>
            <w:r/>
            <w:r>
              <w:rPr>
                <w:b w:val="0"/>
                <w:sz w:val="17"/>
              </w:rPr>
              <w:t>https://doi.org/10.1016/j.oregeorev.2024.105863</w:t>
            </w:r>
          </w:p>
        </w:tc>
      </w:tr>
      <w:tr>
        <w:tc>
          <w:tcPr>
            <w:tcW w:type="dxa" w:w="2592"/>
          </w:tcPr>
          <w:p>
            <w:r/>
            <w:r>
              <w:rPr>
                <w:b w:val="0"/>
                <w:sz w:val="17"/>
              </w:rPr>
              <w:t>Deep Learning-Based Mineral Exploration Named Entity Recognition (2024)</w:t>
            </w:r>
          </w:p>
        </w:tc>
        <w:tc>
          <w:tcPr>
            <w:tcW w:type="dxa" w:w="2592"/>
          </w:tcPr>
          <w:p>
            <w:r/>
            <w:r>
              <w:rPr>
                <w:b w:val="0"/>
                <w:sz w:val="17"/>
              </w:rPr>
              <w:t>Shows domain-specific NER for mineral exploration text.</w:t>
            </w:r>
          </w:p>
        </w:tc>
        <w:tc>
          <w:tcPr>
            <w:tcW w:type="dxa" w:w="2592"/>
          </w:tcPr>
          <w:p>
            <w:r/>
            <w:r>
              <w:rPr>
                <w:b w:val="0"/>
                <w:sz w:val="17"/>
              </w:rPr>
              <w:t>Maintain mining/geology terminology, aliases and structured entities.</w:t>
            </w:r>
          </w:p>
        </w:tc>
        <w:tc>
          <w:tcPr>
            <w:tcW w:type="dxa" w:w="2592"/>
          </w:tcPr>
          <w:p>
            <w:r/>
            <w:r>
              <w:rPr>
                <w:b w:val="0"/>
                <w:sz w:val="17"/>
              </w:rPr>
              <w:t>https://doi.org/10.1016/j.oregeorev.2024.106367</w:t>
            </w:r>
          </w:p>
        </w:tc>
      </w:tr>
      <w:tr>
        <w:tc>
          <w:tcPr>
            <w:tcW w:type="dxa" w:w="2592"/>
          </w:tcPr>
          <w:p>
            <w:r/>
            <w:r>
              <w:rPr>
                <w:b w:val="0"/>
                <w:sz w:val="17"/>
              </w:rPr>
              <w:t>Applications of Deep Learning for Mineral Exploration and Geological Data Analysis in Mining (2025)</w:t>
            </w:r>
          </w:p>
        </w:tc>
        <w:tc>
          <w:tcPr>
            <w:tcW w:type="dxa" w:w="2592"/>
          </w:tcPr>
          <w:p>
            <w:r/>
            <w:r>
              <w:rPr>
                <w:b w:val="0"/>
                <w:sz w:val="17"/>
              </w:rPr>
              <w:t>Reviews deep-learning use in exploration and geological data analysis.</w:t>
            </w:r>
          </w:p>
        </w:tc>
        <w:tc>
          <w:tcPr>
            <w:tcW w:type="dxa" w:w="2592"/>
          </w:tcPr>
          <w:p>
            <w:r/>
            <w:r>
              <w:rPr>
                <w:b w:val="0"/>
                <w:sz w:val="17"/>
              </w:rPr>
              <w:t>Supports future GIS/geological analytics roadmap.</w:t>
            </w:r>
          </w:p>
        </w:tc>
        <w:tc>
          <w:tcPr>
            <w:tcW w:type="dxa" w:w="2592"/>
          </w:tcPr>
          <w:p>
            <w:r/>
            <w:r>
              <w:rPr>
                <w:b w:val="0"/>
                <w:sz w:val="17"/>
              </w:rPr>
              <w:t>https://gjeta.com/sites/default/files/fulltext_pdf/GJETA-2025-0209.pdf</w:t>
            </w:r>
          </w:p>
        </w:tc>
      </w:tr>
    </w:tbl>
    <w:p/>
    <w:p>
      <w:pPr>
        <w:pStyle w:val="Heading2"/>
      </w:pPr>
      <w:r>
        <w:t>5.1 Case Study Implication</w:t>
      </w:r>
    </w:p>
    <w:p>
      <w:r>
        <w:t>CMPDI reports often combine narrative text, geological terminology, tables, maps and historical context. Therefore, GEOVANI should not treat them as plain text alone. The ingestion pipeline must preserve document/page identity, support table-aware extraction, retain geological entities such as coalfield, block, seam, borehole, drilling depth and resource category, and route uncertain fields to reviewer verification.</w:t>
      </w:r>
    </w:p>
    <w:p>
      <w:pPr>
        <w:pStyle w:val="Heading1"/>
      </w:pPr>
      <w:r>
        <w:t>6. Evidence: OCR, Scanned Documents and Quality Control</w:t>
      </w:r>
    </w:p>
    <w:tbl>
      <w:tblPr>
        <w:tblStyle w:val="TableGrid"/>
        <w:tblW w:type="auto" w:w="0"/>
        <w:tblLook w:firstColumn="1" w:firstRow="1" w:lastColumn="0" w:lastRow="0" w:noHBand="0" w:noVBand="1" w:val="04A0"/>
      </w:tblPr>
      <w:tblGrid>
        <w:gridCol w:w="2592"/>
        <w:gridCol w:w="2592"/>
        <w:gridCol w:w="2592"/>
        <w:gridCol w:w="2592"/>
      </w:tblGrid>
      <w:tr>
        <w:tc>
          <w:tcPr>
            <w:tcW w:type="dxa" w:w="2592"/>
            <w:shd w:fill="123B5D"/>
          </w:tcPr>
          <w:p>
            <w:r/>
            <w:r>
              <w:rPr>
                <w:b/>
                <w:sz w:val="17"/>
              </w:rPr>
              <w:t>Paper</w:t>
            </w:r>
          </w:p>
        </w:tc>
        <w:tc>
          <w:tcPr>
            <w:tcW w:type="dxa" w:w="2592"/>
            <w:shd w:fill="123B5D"/>
          </w:tcPr>
          <w:p>
            <w:r/>
            <w:r>
              <w:rPr>
                <w:b/>
                <w:sz w:val="17"/>
              </w:rPr>
              <w:t>Core Finding</w:t>
            </w:r>
          </w:p>
        </w:tc>
        <w:tc>
          <w:tcPr>
            <w:tcW w:type="dxa" w:w="2592"/>
            <w:shd w:fill="123B5D"/>
          </w:tcPr>
          <w:p>
            <w:r/>
            <w:r>
              <w:rPr>
                <w:b/>
                <w:sz w:val="17"/>
              </w:rPr>
              <w:t>GEOVANI Design Decision</w:t>
            </w:r>
          </w:p>
        </w:tc>
        <w:tc>
          <w:tcPr>
            <w:tcW w:type="dxa" w:w="2592"/>
            <w:shd w:fill="123B5D"/>
          </w:tcPr>
          <w:p>
            <w:r/>
            <w:r>
              <w:rPr>
                <w:b/>
                <w:sz w:val="17"/>
              </w:rPr>
              <w:t>Link</w:t>
            </w:r>
          </w:p>
        </w:tc>
      </w:tr>
      <w:tr>
        <w:tc>
          <w:tcPr>
            <w:tcW w:type="dxa" w:w="2592"/>
          </w:tcPr>
          <w:p>
            <w:r/>
            <w:r>
              <w:rPr>
                <w:b w:val="0"/>
                <w:sz w:val="17"/>
              </w:rPr>
              <w:t>OCR Hinders RAG: Evaluating the Cascading Impact of OCR on Retrieval-Augmented Generation (ICCV 2025)</w:t>
            </w:r>
          </w:p>
        </w:tc>
        <w:tc>
          <w:tcPr>
            <w:tcW w:type="dxa" w:w="2592"/>
          </w:tcPr>
          <w:p>
            <w:r/>
            <w:r>
              <w:rPr>
                <w:b w:val="0"/>
                <w:sz w:val="17"/>
              </w:rPr>
              <w:t>OCR errors propagate into downstream retrieval and generation quality.</w:t>
            </w:r>
          </w:p>
        </w:tc>
        <w:tc>
          <w:tcPr>
            <w:tcW w:type="dxa" w:w="2592"/>
          </w:tcPr>
          <w:p>
            <w:r/>
            <w:r>
              <w:rPr>
                <w:b w:val="0"/>
                <w:sz w:val="17"/>
              </w:rPr>
              <w:t>Store OCR confidence; preserve original page; require review for low-confidence/numeric extractions.</w:t>
            </w:r>
          </w:p>
        </w:tc>
        <w:tc>
          <w:tcPr>
            <w:tcW w:type="dxa" w:w="2592"/>
          </w:tcPr>
          <w:p>
            <w:r/>
            <w:r>
              <w:rPr>
                <w:b w:val="0"/>
                <w:sz w:val="17"/>
              </w:rPr>
              <w:t>https://openaccess.thecvf.com/content/ICCV2025/papers/Zhang_OCR_Hinders_RAG_Evaluating_the_Cascading_Impact_of_OCR_on_ICCV_2025_paper.pdf</w:t>
            </w:r>
          </w:p>
        </w:tc>
      </w:tr>
      <w:tr>
        <w:tc>
          <w:tcPr>
            <w:tcW w:type="dxa" w:w="2592"/>
          </w:tcPr>
          <w:p>
            <w:r/>
            <w:r>
              <w:rPr>
                <w:b w:val="0"/>
                <w:sz w:val="17"/>
              </w:rPr>
              <w:t>When Good OCR Is Not Enough: Benchmarking OCR Robustness for RAG (ACL 2026)</w:t>
            </w:r>
          </w:p>
        </w:tc>
        <w:tc>
          <w:tcPr>
            <w:tcW w:type="dxa" w:w="2592"/>
          </w:tcPr>
          <w:p>
            <w:r/>
            <w:r>
              <w:rPr>
                <w:b w:val="0"/>
                <w:sz w:val="17"/>
              </w:rPr>
              <w:t>Even strong OCR alone does not guarantee reliable RAG answers.</w:t>
            </w:r>
          </w:p>
        </w:tc>
        <w:tc>
          <w:tcPr>
            <w:tcW w:type="dxa" w:w="2592"/>
          </w:tcPr>
          <w:p>
            <w:r/>
            <w:r>
              <w:rPr>
                <w:b w:val="0"/>
                <w:sz w:val="17"/>
              </w:rPr>
              <w:t>Evaluate both extraction accuracy and answer/citation correctness.</w:t>
            </w:r>
          </w:p>
        </w:tc>
        <w:tc>
          <w:tcPr>
            <w:tcW w:type="dxa" w:w="2592"/>
          </w:tcPr>
          <w:p>
            <w:r/>
            <w:r>
              <w:rPr>
                <w:b w:val="0"/>
                <w:sz w:val="17"/>
              </w:rPr>
              <w:t>https://aclanthology.org/2026.acl-industry.60/</w:t>
            </w:r>
          </w:p>
        </w:tc>
      </w:tr>
      <w:tr>
        <w:tc>
          <w:tcPr>
            <w:tcW w:type="dxa" w:w="2592"/>
          </w:tcPr>
          <w:p>
            <w:r/>
            <w:r>
              <w:rPr>
                <w:b w:val="0"/>
                <w:sz w:val="17"/>
              </w:rPr>
              <w:t>StruNRAG: Evaluation of OCR-Induced Structural Noise on RAG Robustness</w:t>
            </w:r>
          </w:p>
        </w:tc>
        <w:tc>
          <w:tcPr>
            <w:tcW w:type="dxa" w:w="2592"/>
          </w:tcPr>
          <w:p>
            <w:r/>
            <w:r>
              <w:rPr>
                <w:b w:val="0"/>
                <w:sz w:val="17"/>
              </w:rPr>
              <w:t>Layout/structural OCR noise impacts RAG reliability.</w:t>
            </w:r>
          </w:p>
        </w:tc>
        <w:tc>
          <w:tcPr>
            <w:tcW w:type="dxa" w:w="2592"/>
          </w:tcPr>
          <w:p>
            <w:r/>
            <w:r>
              <w:rPr>
                <w:b w:val="0"/>
                <w:sz w:val="17"/>
              </w:rPr>
              <w:t>Use page-aware chunks, table extraction and layout-sensitive review.</w:t>
            </w:r>
          </w:p>
        </w:tc>
        <w:tc>
          <w:tcPr>
            <w:tcW w:type="dxa" w:w="2592"/>
          </w:tcPr>
          <w:p>
            <w:r/>
            <w:r>
              <w:rPr>
                <w:b w:val="0"/>
                <w:sz w:val="17"/>
              </w:rPr>
              <w:t>https://aclanthology.org/2026.findings-acl.955.pdf</w:t>
            </w:r>
          </w:p>
        </w:tc>
      </w:tr>
      <w:tr>
        <w:tc>
          <w:tcPr>
            <w:tcW w:type="dxa" w:w="2592"/>
          </w:tcPr>
          <w:p>
            <w:r/>
            <w:r>
              <w:rPr>
                <w:b w:val="0"/>
                <w:sz w:val="17"/>
              </w:rPr>
              <w:t>Document Segmentation Matters for RAG (ACL 2025)</w:t>
            </w:r>
          </w:p>
        </w:tc>
        <w:tc>
          <w:tcPr>
            <w:tcW w:type="dxa" w:w="2592"/>
          </w:tcPr>
          <w:p>
            <w:r/>
            <w:r>
              <w:rPr>
                <w:b w:val="0"/>
                <w:sz w:val="17"/>
              </w:rPr>
              <w:t>Chunk/segment strategy impacts retrieval quality.</w:t>
            </w:r>
          </w:p>
        </w:tc>
        <w:tc>
          <w:tcPr>
            <w:tcW w:type="dxa" w:w="2592"/>
          </w:tcPr>
          <w:p>
            <w:r/>
            <w:r>
              <w:rPr>
                <w:b w:val="0"/>
                <w:sz w:val="17"/>
              </w:rPr>
              <w:t>Keep page numbers, headings and metadata when chunking documents.</w:t>
            </w:r>
          </w:p>
        </w:tc>
        <w:tc>
          <w:tcPr>
            <w:tcW w:type="dxa" w:w="2592"/>
          </w:tcPr>
          <w:p>
            <w:r/>
            <w:r>
              <w:rPr>
                <w:b w:val="0"/>
                <w:sz w:val="17"/>
              </w:rPr>
              <w:t>https://aclanthology.org/2025.findings-acl.422/</w:t>
            </w:r>
          </w:p>
        </w:tc>
      </w:tr>
      <w:tr>
        <w:tc>
          <w:tcPr>
            <w:tcW w:type="dxa" w:w="2592"/>
          </w:tcPr>
          <w:p>
            <w:r/>
            <w:r>
              <w:rPr>
                <w:b w:val="0"/>
                <w:sz w:val="17"/>
              </w:rPr>
              <w:t>Lightweight RAG System for CPU-only Environments</w:t>
            </w:r>
          </w:p>
        </w:tc>
        <w:tc>
          <w:tcPr>
            <w:tcW w:type="dxa" w:w="2592"/>
          </w:tcPr>
          <w:p>
            <w:r/>
            <w:r>
              <w:rPr>
                <w:b w:val="0"/>
                <w:sz w:val="17"/>
              </w:rPr>
              <w:t>Shows an OCR/PDF/RAG approach designed for low-resource settings.</w:t>
            </w:r>
          </w:p>
        </w:tc>
        <w:tc>
          <w:tcPr>
            <w:tcW w:type="dxa" w:w="2592"/>
          </w:tcPr>
          <w:p>
            <w:r/>
            <w:r>
              <w:rPr>
                <w:b w:val="0"/>
                <w:sz w:val="17"/>
              </w:rPr>
              <w:t>Supports SIH prototype without training a large local LLM.</w:t>
            </w:r>
          </w:p>
        </w:tc>
        <w:tc>
          <w:tcPr>
            <w:tcW w:type="dxa" w:w="2592"/>
          </w:tcPr>
          <w:p>
            <w:r/>
            <w:r>
              <w:rPr>
                <w:b w:val="0"/>
                <w:sz w:val="17"/>
              </w:rPr>
              <w:t>https://ijsret.com/wp-content/uploads/IJSRET_V12_issue2_458.pdf</w:t>
            </w:r>
          </w:p>
        </w:tc>
      </w:tr>
    </w:tbl>
    <w:p/>
    <w:p>
      <w:pPr>
        <w:pStyle w:val="Heading2"/>
      </w:pPr>
      <w:r>
        <w:t>6.1 Case Study Implication</w:t>
      </w:r>
    </w:p>
    <w:p>
      <w:r>
        <w:t>This evidence proves that “upload PDF and ask chatbot” is insufficient for a government reporting environment. GEOVANI must include: original-file retention, page-level evidence, OCR confidence, numerical validation, reviewer correction and explicit status labels such as Draft, Pending Review, Verified, Conflict and Approved.</w:t>
      </w:r>
    </w:p>
    <w:p>
      <w:pPr>
        <w:pStyle w:val="Heading1"/>
      </w:pPr>
      <w:r>
        <w:t>7. Evidence: Government and Parliamentary Q&amp;A</w:t>
      </w:r>
    </w:p>
    <w:tbl>
      <w:tblPr>
        <w:tblStyle w:val="TableGrid"/>
        <w:tblW w:type="auto" w:w="0"/>
        <w:tblLook w:firstColumn="1" w:firstRow="1" w:lastColumn="0" w:lastRow="0" w:noHBand="0" w:noVBand="1" w:val="04A0"/>
      </w:tblPr>
      <w:tblGrid>
        <w:gridCol w:w="2592"/>
        <w:gridCol w:w="2592"/>
        <w:gridCol w:w="2592"/>
        <w:gridCol w:w="2592"/>
      </w:tblGrid>
      <w:tr>
        <w:tc>
          <w:tcPr>
            <w:tcW w:type="dxa" w:w="2592"/>
            <w:shd w:fill="123B5D"/>
          </w:tcPr>
          <w:p>
            <w:r/>
            <w:r>
              <w:rPr>
                <w:b/>
                <w:sz w:val="17"/>
              </w:rPr>
              <w:t>Paper / Evidence</w:t>
            </w:r>
          </w:p>
        </w:tc>
        <w:tc>
          <w:tcPr>
            <w:tcW w:type="dxa" w:w="2592"/>
            <w:shd w:fill="123B5D"/>
          </w:tcPr>
          <w:p>
            <w:r/>
            <w:r>
              <w:rPr>
                <w:b/>
                <w:sz w:val="17"/>
              </w:rPr>
              <w:t>Core Finding</w:t>
            </w:r>
          </w:p>
        </w:tc>
        <w:tc>
          <w:tcPr>
            <w:tcW w:type="dxa" w:w="2592"/>
            <w:shd w:fill="123B5D"/>
          </w:tcPr>
          <w:p>
            <w:r/>
            <w:r>
              <w:rPr>
                <w:b/>
                <w:sz w:val="17"/>
              </w:rPr>
              <w:t>GEOVANI Use</w:t>
            </w:r>
          </w:p>
        </w:tc>
        <w:tc>
          <w:tcPr>
            <w:tcW w:type="dxa" w:w="2592"/>
            <w:shd w:fill="123B5D"/>
          </w:tcPr>
          <w:p>
            <w:r/>
            <w:r>
              <w:rPr>
                <w:b/>
                <w:sz w:val="17"/>
              </w:rPr>
              <w:t>Link</w:t>
            </w:r>
          </w:p>
        </w:tc>
      </w:tr>
      <w:tr>
        <w:tc>
          <w:tcPr>
            <w:tcW w:type="dxa" w:w="2592"/>
          </w:tcPr>
          <w:p>
            <w:r/>
            <w:r>
              <w:rPr>
                <w:b w:val="0"/>
                <w:sz w:val="17"/>
              </w:rPr>
              <w:t>Resource-efficient Retrieval-Augmented Question Answering for the Indian Lok Sabha Dataset (2026)</w:t>
            </w:r>
          </w:p>
        </w:tc>
        <w:tc>
          <w:tcPr>
            <w:tcW w:type="dxa" w:w="2592"/>
          </w:tcPr>
          <w:p>
            <w:r/>
            <w:r>
              <w:rPr>
                <w:b w:val="0"/>
                <w:sz w:val="17"/>
              </w:rPr>
              <w:t>Demonstrates domain-specific, resource-efficient RAG for Indian parliamentary question-answer records using retrieval grounding.</w:t>
            </w:r>
          </w:p>
        </w:tc>
        <w:tc>
          <w:tcPr>
            <w:tcW w:type="dxa" w:w="2592"/>
          </w:tcPr>
          <w:p>
            <w:r/>
            <w:r>
              <w:rPr>
                <w:b w:val="0"/>
                <w:sz w:val="17"/>
              </w:rPr>
              <w:t>Supports parliamentary/high-priority query module and low-compute prototype strategy.</w:t>
            </w:r>
          </w:p>
        </w:tc>
        <w:tc>
          <w:tcPr>
            <w:tcW w:type="dxa" w:w="2592"/>
          </w:tcPr>
          <w:p>
            <w:r/>
            <w:r>
              <w:rPr>
                <w:b w:val="0"/>
                <w:sz w:val="17"/>
              </w:rPr>
              <w:t>https://www.frontiersin.org/journals/artificial-intelligence/articles/10.3389/frai.2026.1798021/full</w:t>
            </w:r>
          </w:p>
        </w:tc>
      </w:tr>
      <w:tr>
        <w:tc>
          <w:tcPr>
            <w:tcW w:type="dxa" w:w="2592"/>
          </w:tcPr>
          <w:p>
            <w:r/>
            <w:r>
              <w:rPr>
                <w:b w:val="0"/>
                <w:sz w:val="17"/>
              </w:rPr>
              <w:t>Gov-RAG: A Retrieval-Augmented Generation Framework for Enhancing E-Government Services (2025)</w:t>
            </w:r>
          </w:p>
        </w:tc>
        <w:tc>
          <w:tcPr>
            <w:tcW w:type="dxa" w:w="2592"/>
          </w:tcPr>
          <w:p>
            <w:r/>
            <w:r>
              <w:rPr>
                <w:b w:val="0"/>
                <w:sz w:val="17"/>
              </w:rPr>
              <w:t>Explores RAG for high-stakes government services.</w:t>
            </w:r>
          </w:p>
        </w:tc>
        <w:tc>
          <w:tcPr>
            <w:tcW w:type="dxa" w:w="2592"/>
          </w:tcPr>
          <w:p>
            <w:r/>
            <w:r>
              <w:rPr>
                <w:b w:val="0"/>
                <w:sz w:val="17"/>
              </w:rPr>
              <w:t>Supports government-oriented evidence, accountability and governance design.</w:t>
            </w:r>
          </w:p>
        </w:tc>
        <w:tc>
          <w:tcPr>
            <w:tcW w:type="dxa" w:w="2592"/>
          </w:tcPr>
          <w:p>
            <w:r/>
            <w:r>
              <w:rPr>
                <w:b w:val="0"/>
                <w:sz w:val="17"/>
              </w:rPr>
              <w:t>https://papers.ssrn.com/sol3/papers.cfm?abstract_id=5111865</w:t>
            </w:r>
          </w:p>
        </w:tc>
      </w:tr>
      <w:tr>
        <w:tc>
          <w:tcPr>
            <w:tcW w:type="dxa" w:w="2592"/>
          </w:tcPr>
          <w:p>
            <w:r/>
            <w:r>
              <w:rPr>
                <w:b w:val="0"/>
                <w:sz w:val="17"/>
              </w:rPr>
              <w:t>PolicyBot: Reliable Question Answering over Policy Documents (2025)</w:t>
            </w:r>
          </w:p>
        </w:tc>
        <w:tc>
          <w:tcPr>
            <w:tcW w:type="dxa" w:w="2592"/>
          </w:tcPr>
          <w:p>
            <w:r/>
            <w:r>
              <w:rPr>
                <w:b w:val="0"/>
                <w:sz w:val="17"/>
              </w:rPr>
              <w:t>Uses retrieval, citation tracing and hallucination-control principles.</w:t>
            </w:r>
          </w:p>
        </w:tc>
        <w:tc>
          <w:tcPr>
            <w:tcW w:type="dxa" w:w="2592"/>
          </w:tcPr>
          <w:p>
            <w:r/>
            <w:r>
              <w:rPr>
                <w:b w:val="0"/>
                <w:sz w:val="17"/>
              </w:rPr>
              <w:t>Supports citation-enforced answers and no-evidence behavior.</w:t>
            </w:r>
          </w:p>
        </w:tc>
        <w:tc>
          <w:tcPr>
            <w:tcW w:type="dxa" w:w="2592"/>
          </w:tcPr>
          <w:p>
            <w:r/>
            <w:r>
              <w:rPr>
                <w:b w:val="0"/>
                <w:sz w:val="17"/>
              </w:rPr>
              <w:t>https://arxiv.org/abs/2511.13489</w:t>
            </w:r>
          </w:p>
        </w:tc>
      </w:tr>
      <w:tr>
        <w:tc>
          <w:tcPr>
            <w:tcW w:type="dxa" w:w="2592"/>
          </w:tcPr>
          <w:p>
            <w:r/>
            <w:r>
              <w:rPr>
                <w:b w:val="0"/>
                <w:sz w:val="17"/>
              </w:rPr>
              <w:t>IR 4.0 in Parliament: Conceptualising AI in Parliamentary Business (2024)</w:t>
            </w:r>
          </w:p>
        </w:tc>
        <w:tc>
          <w:tcPr>
            <w:tcW w:type="dxa" w:w="2592"/>
          </w:tcPr>
          <w:p>
            <w:r/>
            <w:r>
              <w:rPr>
                <w:b w:val="0"/>
                <w:sz w:val="17"/>
              </w:rPr>
              <w:t>Discusses AI potential in parliamentary workflows.</w:t>
            </w:r>
          </w:p>
        </w:tc>
        <w:tc>
          <w:tcPr>
            <w:tcW w:type="dxa" w:w="2592"/>
          </w:tcPr>
          <w:p>
            <w:r/>
            <w:r>
              <w:rPr>
                <w:b w:val="0"/>
                <w:sz w:val="17"/>
              </w:rPr>
              <w:t>Supports response-time and transparency value proposition.</w:t>
            </w:r>
          </w:p>
        </w:tc>
        <w:tc>
          <w:tcPr>
            <w:tcW w:type="dxa" w:w="2592"/>
          </w:tcPr>
          <w:p>
            <w:r/>
            <w:r>
              <w:rPr>
                <w:b w:val="0"/>
                <w:sz w:val="17"/>
              </w:rPr>
              <w:t>https://gaexcellence.com/ijlgc/article/view/2080</w:t>
            </w:r>
          </w:p>
        </w:tc>
      </w:tr>
    </w:tbl>
    <w:p/>
    <w:p>
      <w:pPr>
        <w:pStyle w:val="Heading2"/>
      </w:pPr>
      <w:r>
        <w:t>7.1 Case Study Implication</w:t>
      </w:r>
    </w:p>
    <w:p>
      <w:r>
        <w:t>For parliamentary questions, an answer must not simply sound correct. It must be supported by approved evidence. Hence, GEOVANI should retrieve only authorized documents, prefer verified structured facts for numbers, attach document/page citations, abstain if evidence is absent, and flag conflicts for an officer instead of guessing.</w:t>
      </w:r>
    </w:p>
    <w:p>
      <w:pPr>
        <w:pStyle w:val="Heading1"/>
      </w:pPr>
      <w:r>
        <w:t>8. Evidence: Mining and Coal AI</w:t>
      </w:r>
    </w:p>
    <w:tbl>
      <w:tblPr>
        <w:tblStyle w:val="TableGrid"/>
        <w:tblW w:type="auto" w:w="0"/>
        <w:tblLook w:firstColumn="1" w:firstRow="1" w:lastColumn="0" w:lastRow="0" w:noHBand="0" w:noVBand="1" w:val="04A0"/>
      </w:tblPr>
      <w:tblGrid>
        <w:gridCol w:w="2592"/>
        <w:gridCol w:w="2592"/>
        <w:gridCol w:w="2592"/>
        <w:gridCol w:w="2592"/>
      </w:tblGrid>
      <w:tr>
        <w:tc>
          <w:tcPr>
            <w:tcW w:type="dxa" w:w="2592"/>
            <w:shd w:fill="123B5D"/>
          </w:tcPr>
          <w:p>
            <w:r/>
            <w:r>
              <w:rPr>
                <w:b/>
                <w:sz w:val="17"/>
              </w:rPr>
              <w:t>Paper / Evidence</w:t>
            </w:r>
          </w:p>
        </w:tc>
        <w:tc>
          <w:tcPr>
            <w:tcW w:type="dxa" w:w="2592"/>
            <w:shd w:fill="123B5D"/>
          </w:tcPr>
          <w:p>
            <w:r/>
            <w:r>
              <w:rPr>
                <w:b/>
                <w:sz w:val="17"/>
              </w:rPr>
              <w:t>Core Finding</w:t>
            </w:r>
          </w:p>
        </w:tc>
        <w:tc>
          <w:tcPr>
            <w:tcW w:type="dxa" w:w="2592"/>
            <w:shd w:fill="123B5D"/>
          </w:tcPr>
          <w:p>
            <w:r/>
            <w:r>
              <w:rPr>
                <w:b/>
                <w:sz w:val="17"/>
              </w:rPr>
              <w:t>GEOVANI Relevance</w:t>
            </w:r>
          </w:p>
        </w:tc>
        <w:tc>
          <w:tcPr>
            <w:tcW w:type="dxa" w:w="2592"/>
            <w:shd w:fill="123B5D"/>
          </w:tcPr>
          <w:p>
            <w:r/>
            <w:r>
              <w:rPr>
                <w:b/>
                <w:sz w:val="17"/>
              </w:rPr>
              <w:t>Link</w:t>
            </w:r>
          </w:p>
        </w:tc>
      </w:tr>
      <w:tr>
        <w:tc>
          <w:tcPr>
            <w:tcW w:type="dxa" w:w="2592"/>
          </w:tcPr>
          <w:p>
            <w:r/>
            <w:r>
              <w:rPr>
                <w:b w:val="0"/>
                <w:sz w:val="17"/>
              </w:rPr>
              <w:t>Application of NLP and ML for Analyzing Mining Accident Reports and Automating Root Cause Analysis (2025)</w:t>
            </w:r>
          </w:p>
        </w:tc>
        <w:tc>
          <w:tcPr>
            <w:tcW w:type="dxa" w:w="2592"/>
          </w:tcPr>
          <w:p>
            <w:r/>
            <w:r>
              <w:rPr>
                <w:b w:val="0"/>
                <w:sz w:val="17"/>
              </w:rPr>
              <w:t>NLP/ML can process mining-report text, identify patterns and reduce manual handling of unstructured records.</w:t>
            </w:r>
          </w:p>
        </w:tc>
        <w:tc>
          <w:tcPr>
            <w:tcW w:type="dxa" w:w="2592"/>
          </w:tcPr>
          <w:p>
            <w:r/>
            <w:r>
              <w:rPr>
                <w:b w:val="0"/>
                <w:sz w:val="17"/>
              </w:rPr>
              <w:t>Supports keyword extraction, topic identification and recurring-issue analysis.</w:t>
            </w:r>
          </w:p>
        </w:tc>
        <w:tc>
          <w:tcPr>
            <w:tcW w:type="dxa" w:w="2592"/>
          </w:tcPr>
          <w:p>
            <w:r/>
            <w:r>
              <w:rPr>
                <w:b w:val="0"/>
                <w:sz w:val="17"/>
              </w:rPr>
              <w:t>https://link.springer.com/article/10.1007/s40789-025-00822-0</w:t>
            </w:r>
          </w:p>
        </w:tc>
      </w:tr>
      <w:tr>
        <w:tc>
          <w:tcPr>
            <w:tcW w:type="dxa" w:w="2592"/>
          </w:tcPr>
          <w:p>
            <w:r/>
            <w:r>
              <w:rPr>
                <w:b w:val="0"/>
                <w:sz w:val="17"/>
              </w:rPr>
              <w:t>Research and Application of Intelligent Methods for Coal Mine Accident Cause Analysis (2025)</w:t>
            </w:r>
          </w:p>
        </w:tc>
        <w:tc>
          <w:tcPr>
            <w:tcW w:type="dxa" w:w="2592"/>
          </w:tcPr>
          <w:p>
            <w:r/>
            <w:r>
              <w:rPr>
                <w:b w:val="0"/>
                <w:sz w:val="17"/>
              </w:rPr>
              <w:t>Uses intelligent methods for mining text/entity/cause analysis.</w:t>
            </w:r>
          </w:p>
        </w:tc>
        <w:tc>
          <w:tcPr>
            <w:tcW w:type="dxa" w:w="2592"/>
          </w:tcPr>
          <w:p>
            <w:r/>
            <w:r>
              <w:rPr>
                <w:b w:val="0"/>
                <w:sz w:val="17"/>
              </w:rPr>
              <w:t>Supports domain vocabulary, entity extraction and human-assisted analytics.</w:t>
            </w:r>
          </w:p>
        </w:tc>
        <w:tc>
          <w:tcPr>
            <w:tcW w:type="dxa" w:w="2592"/>
          </w:tcPr>
          <w:p>
            <w:r/>
            <w:r>
              <w:rPr>
                <w:b w:val="0"/>
                <w:sz w:val="17"/>
              </w:rPr>
              <w:t>https://www.sciopen.com/article/10.16511/j.cnki.qhdxxb.2025.26.006</w:t>
            </w:r>
          </w:p>
        </w:tc>
      </w:tr>
      <w:tr>
        <w:tc>
          <w:tcPr>
            <w:tcW w:type="dxa" w:w="2592"/>
          </w:tcPr>
          <w:p>
            <w:r/>
            <w:r>
              <w:rPr>
                <w:b w:val="0"/>
                <w:sz w:val="17"/>
              </w:rPr>
              <w:t>Large Artificial Intelligence Models for Coal Mining (2026)</w:t>
            </w:r>
          </w:p>
        </w:tc>
        <w:tc>
          <w:tcPr>
            <w:tcW w:type="dxa" w:w="2592"/>
          </w:tcPr>
          <w:p>
            <w:r/>
            <w:r>
              <w:rPr>
                <w:b w:val="0"/>
                <w:sz w:val="17"/>
              </w:rPr>
              <w:t>Reviews applications/challenges of domain AI models in coal mining.</w:t>
            </w:r>
          </w:p>
        </w:tc>
        <w:tc>
          <w:tcPr>
            <w:tcW w:type="dxa" w:w="2592"/>
          </w:tcPr>
          <w:p>
            <w:r/>
            <w:r>
              <w:rPr>
                <w:b w:val="0"/>
                <w:sz w:val="17"/>
              </w:rPr>
              <w:t>Supports coal-specific rather than generic AI design.</w:t>
            </w:r>
          </w:p>
        </w:tc>
        <w:tc>
          <w:tcPr>
            <w:tcW w:type="dxa" w:w="2592"/>
          </w:tcPr>
          <w:p>
            <w:r/>
            <w:r>
              <w:rPr>
                <w:b w:val="0"/>
                <w:sz w:val="17"/>
              </w:rPr>
              <w:t>https://link.springer.com/article/10.1007/s12613-026-3492-8</w:t>
            </w:r>
          </w:p>
        </w:tc>
      </w:tr>
      <w:tr>
        <w:tc>
          <w:tcPr>
            <w:tcW w:type="dxa" w:w="2592"/>
          </w:tcPr>
          <w:p>
            <w:r/>
            <w:r>
              <w:rPr>
                <w:b w:val="0"/>
                <w:sz w:val="17"/>
              </w:rPr>
              <w:t>Utilization of AI and ML in the Coal Mining Industry (2024)</w:t>
            </w:r>
          </w:p>
        </w:tc>
        <w:tc>
          <w:tcPr>
            <w:tcW w:type="dxa" w:w="2592"/>
          </w:tcPr>
          <w:p>
            <w:r/>
            <w:r>
              <w:rPr>
                <w:b w:val="0"/>
                <w:sz w:val="17"/>
              </w:rPr>
              <w:t>Reviews AI/ML applications in coal mining.</w:t>
            </w:r>
          </w:p>
        </w:tc>
        <w:tc>
          <w:tcPr>
            <w:tcW w:type="dxa" w:w="2592"/>
          </w:tcPr>
          <w:p>
            <w:r/>
            <w:r>
              <w:rPr>
                <w:b w:val="0"/>
                <w:sz w:val="17"/>
              </w:rPr>
              <w:t>Supports sector feasibility and future expansion.</w:t>
            </w:r>
          </w:p>
        </w:tc>
        <w:tc>
          <w:tcPr>
            <w:tcW w:type="dxa" w:w="2592"/>
          </w:tcPr>
          <w:p>
            <w:r/>
            <w:r>
              <w:rPr>
                <w:b w:val="0"/>
                <w:sz w:val="17"/>
              </w:rPr>
              <w:t>https://pubs.aip.org/aip/acp/article-pdf/doi/10.1063/5.0240351/20291109/040002_1_5.0240351.pdf</w:t>
            </w:r>
          </w:p>
        </w:tc>
      </w:tr>
      <w:tr>
        <w:tc>
          <w:tcPr>
            <w:tcW w:type="dxa" w:w="2592"/>
          </w:tcPr>
          <w:p>
            <w:r/>
            <w:r>
              <w:rPr>
                <w:b w:val="0"/>
                <w:sz w:val="17"/>
              </w:rPr>
              <w:t>Development of an Intelligent Coal Production and Operation Management Platform (2024)</w:t>
            </w:r>
          </w:p>
        </w:tc>
        <w:tc>
          <w:tcPr>
            <w:tcW w:type="dxa" w:w="2592"/>
          </w:tcPr>
          <w:p>
            <w:r/>
            <w:r>
              <w:rPr>
                <w:b w:val="0"/>
                <w:sz w:val="17"/>
              </w:rPr>
              <w:t>Demonstrates intelligent platform concept for coal production/operations.</w:t>
            </w:r>
          </w:p>
        </w:tc>
        <w:tc>
          <w:tcPr>
            <w:tcW w:type="dxa" w:w="2592"/>
          </w:tcPr>
          <w:p>
            <w:r/>
            <w:r>
              <w:rPr>
                <w:b w:val="0"/>
                <w:sz w:val="17"/>
              </w:rPr>
              <w:t>Supports structured production-data integration and dashboards.</w:t>
            </w:r>
          </w:p>
        </w:tc>
        <w:tc>
          <w:tcPr>
            <w:tcW w:type="dxa" w:w="2592"/>
          </w:tcPr>
          <w:p>
            <w:r/>
            <w:r>
              <w:rPr>
                <w:b w:val="0"/>
                <w:sz w:val="17"/>
              </w:rPr>
              <w:t>https://www.mdpi.com/1996-1073/17/20/5205</w:t>
            </w:r>
          </w:p>
        </w:tc>
      </w:tr>
      <w:tr>
        <w:tc>
          <w:tcPr>
            <w:tcW w:type="dxa" w:w="2592"/>
          </w:tcPr>
          <w:p>
            <w:r/>
            <w:r>
              <w:rPr>
                <w:b w:val="0"/>
                <w:sz w:val="17"/>
              </w:rPr>
              <w:t>A Review of the Use of AI in the Mining Industry: Insights and Ethical Considerations (2024)</w:t>
            </w:r>
          </w:p>
        </w:tc>
        <w:tc>
          <w:tcPr>
            <w:tcW w:type="dxa" w:w="2592"/>
          </w:tcPr>
          <w:p>
            <w:r/>
            <w:r>
              <w:rPr>
                <w:b w:val="0"/>
                <w:sz w:val="17"/>
              </w:rPr>
              <w:t>Reviews mining AI and ethical considerations.</w:t>
            </w:r>
          </w:p>
        </w:tc>
        <w:tc>
          <w:tcPr>
            <w:tcW w:type="dxa" w:w="2592"/>
          </w:tcPr>
          <w:p>
            <w:r/>
            <w:r>
              <w:rPr>
                <w:b w:val="0"/>
                <w:sz w:val="17"/>
              </w:rPr>
              <w:t>Supports responsible-AI, human oversight and governance approach.</w:t>
            </w:r>
          </w:p>
        </w:tc>
        <w:tc>
          <w:tcPr>
            <w:tcW w:type="dxa" w:w="2592"/>
          </w:tcPr>
          <w:p>
            <w:r/>
            <w:r>
              <w:rPr>
                <w:b w:val="0"/>
                <w:sz w:val="17"/>
              </w:rPr>
              <w:t>https://www.sciencedirect.com/science/article/pii/S2214790X24000388</w:t>
            </w:r>
          </w:p>
        </w:tc>
      </w:tr>
    </w:tbl>
    <w:p/>
    <w:p>
      <w:pPr>
        <w:pStyle w:val="Heading2"/>
      </w:pPr>
      <w:r>
        <w:t>8.1 Case Study Implication</w:t>
      </w:r>
    </w:p>
    <w:p>
      <w:r>
        <w:t>The literature supports AI use in coal and mining, but it also suggests that mining-related results require context, quality control and responsible deployment. GEOVANI is therefore designed as an assistant for officers—not a replacement for official technical, administrative or approval decisions.</w:t>
      </w:r>
    </w:p>
    <w:p>
      <w:pPr>
        <w:pStyle w:val="Heading1"/>
      </w:pPr>
      <w:r>
        <w:t>9. Existing Platform Case Studies</w:t>
      </w:r>
    </w:p>
    <w:tbl>
      <w:tblPr>
        <w:tblStyle w:val="TableGrid"/>
        <w:tblW w:type="auto" w:w="0"/>
        <w:tblLook w:firstColumn="1" w:firstRow="1" w:lastColumn="0" w:lastRow="0" w:noHBand="0" w:noVBand="1" w:val="04A0"/>
      </w:tblPr>
      <w:tblGrid>
        <w:gridCol w:w="2592"/>
        <w:gridCol w:w="2592"/>
        <w:gridCol w:w="2592"/>
        <w:gridCol w:w="2592"/>
      </w:tblGrid>
      <w:tr>
        <w:tc>
          <w:tcPr>
            <w:tcW w:type="dxa" w:w="2592"/>
            <w:shd w:fill="123B5D"/>
          </w:tcPr>
          <w:p>
            <w:r/>
            <w:r>
              <w:rPr>
                <w:b/>
                <w:sz w:val="17"/>
              </w:rPr>
              <w:t>Platform</w:t>
            </w:r>
          </w:p>
        </w:tc>
        <w:tc>
          <w:tcPr>
            <w:tcW w:type="dxa" w:w="2592"/>
            <w:shd w:fill="123B5D"/>
          </w:tcPr>
          <w:p>
            <w:r/>
            <w:r>
              <w:rPr>
                <w:b/>
                <w:sz w:val="17"/>
              </w:rPr>
              <w:t>Validated Capability</w:t>
            </w:r>
          </w:p>
        </w:tc>
        <w:tc>
          <w:tcPr>
            <w:tcW w:type="dxa" w:w="2592"/>
            <w:shd w:fill="123B5D"/>
          </w:tcPr>
          <w:p>
            <w:r/>
            <w:r>
              <w:rPr>
                <w:b/>
                <w:sz w:val="17"/>
              </w:rPr>
              <w:t>Gap GEOVANI Fills</w:t>
            </w:r>
          </w:p>
        </w:tc>
        <w:tc>
          <w:tcPr>
            <w:tcW w:type="dxa" w:w="2592"/>
            <w:shd w:fill="123B5D"/>
          </w:tcPr>
          <w:p>
            <w:r/>
            <w:r>
              <w:rPr>
                <w:b/>
                <w:sz w:val="17"/>
              </w:rPr>
              <w:t>Link</w:t>
            </w:r>
          </w:p>
        </w:tc>
      </w:tr>
      <w:tr>
        <w:tc>
          <w:tcPr>
            <w:tcW w:type="dxa" w:w="2592"/>
          </w:tcPr>
          <w:p>
            <w:r/>
            <w:r>
              <w:rPr>
                <w:b w:val="0"/>
                <w:sz w:val="17"/>
              </w:rPr>
              <w:t>MoSPI StatsDoc AI</w:t>
            </w:r>
          </w:p>
        </w:tc>
        <w:tc>
          <w:tcPr>
            <w:tcW w:type="dxa" w:w="2592"/>
          </w:tcPr>
          <w:p>
            <w:r/>
            <w:r>
              <w:rPr>
                <w:b w:val="0"/>
                <w:sz w:val="17"/>
              </w:rPr>
              <w:t>Government document/dataset natural-language search.</w:t>
            </w:r>
          </w:p>
        </w:tc>
        <w:tc>
          <w:tcPr>
            <w:tcW w:type="dxa" w:w="2592"/>
          </w:tcPr>
          <w:p>
            <w:r/>
            <w:r>
              <w:rPr>
                <w:b w:val="0"/>
                <w:sz w:val="17"/>
              </w:rPr>
              <w:t>Adds coal/geology/production fields, subsidiary workflow, conflict detection and report approvals.</w:t>
            </w:r>
          </w:p>
        </w:tc>
        <w:tc>
          <w:tcPr>
            <w:tcW w:type="dxa" w:w="2592"/>
          </w:tcPr>
          <w:p>
            <w:r/>
            <w:r>
              <w:rPr>
                <w:b w:val="0"/>
                <w:sz w:val="17"/>
              </w:rPr>
              <w:t>https://www.mospi.gov.in/</w:t>
            </w:r>
          </w:p>
        </w:tc>
      </w:tr>
      <w:tr>
        <w:tc>
          <w:tcPr>
            <w:tcW w:type="dxa" w:w="2592"/>
          </w:tcPr>
          <w:p>
            <w:r/>
            <w:r>
              <w:rPr>
                <w:b w:val="0"/>
                <w:sz w:val="17"/>
              </w:rPr>
              <w:t>Granthik (Setidure)</w:t>
            </w:r>
          </w:p>
        </w:tc>
        <w:tc>
          <w:tcPr>
            <w:tcW w:type="dxa" w:w="2592"/>
          </w:tcPr>
          <w:p>
            <w:r/>
            <w:r>
              <w:rPr>
                <w:b w:val="0"/>
                <w:sz w:val="17"/>
              </w:rPr>
              <w:t>Private OCR + RAG document intelligence for institutions/government.</w:t>
            </w:r>
          </w:p>
        </w:tc>
        <w:tc>
          <w:tcPr>
            <w:tcW w:type="dxa" w:w="2592"/>
          </w:tcPr>
          <w:p>
            <w:r/>
            <w:r>
              <w:rPr>
                <w:b w:val="0"/>
                <w:sz w:val="17"/>
              </w:rPr>
              <w:t>Adds CMPDI/CIL-specific reporting templates, mining ontology and SAP/ERP data fusion.</w:t>
            </w:r>
          </w:p>
        </w:tc>
        <w:tc>
          <w:tcPr>
            <w:tcW w:type="dxa" w:w="2592"/>
          </w:tcPr>
          <w:p>
            <w:r/>
            <w:r>
              <w:rPr>
                <w:b w:val="0"/>
                <w:sz w:val="17"/>
              </w:rPr>
              <w:t>https://app.setidure.com/products/granthik</w:t>
            </w:r>
          </w:p>
        </w:tc>
      </w:tr>
      <w:tr>
        <w:tc>
          <w:tcPr>
            <w:tcW w:type="dxa" w:w="2592"/>
          </w:tcPr>
          <w:p>
            <w:r/>
            <w:r>
              <w:rPr>
                <w:b w:val="0"/>
                <w:sz w:val="17"/>
              </w:rPr>
              <w:t>ShareDocs Government</w:t>
            </w:r>
          </w:p>
        </w:tc>
        <w:tc>
          <w:tcPr>
            <w:tcW w:type="dxa" w:w="2592"/>
          </w:tcPr>
          <w:p>
            <w:r/>
            <w:r>
              <w:rPr>
                <w:b w:val="0"/>
                <w:sz w:val="17"/>
              </w:rPr>
              <w:t>Government electronic content/document management workflows.</w:t>
            </w:r>
          </w:p>
        </w:tc>
        <w:tc>
          <w:tcPr>
            <w:tcW w:type="dxa" w:w="2592"/>
          </w:tcPr>
          <w:p>
            <w:r/>
            <w:r>
              <w:rPr>
                <w:b w:val="0"/>
                <w:sz w:val="17"/>
              </w:rPr>
              <w:t>Adds AI extraction, evidence-first Q&amp;A and mining analytics.</w:t>
            </w:r>
          </w:p>
        </w:tc>
        <w:tc>
          <w:tcPr>
            <w:tcW w:type="dxa" w:w="2592"/>
          </w:tcPr>
          <w:p>
            <w:r/>
            <w:r>
              <w:rPr>
                <w:b w:val="0"/>
                <w:sz w:val="17"/>
              </w:rPr>
              <w:t>https://sharedocsdms.com/solution/government</w:t>
            </w:r>
          </w:p>
        </w:tc>
      </w:tr>
      <w:tr>
        <w:tc>
          <w:tcPr>
            <w:tcW w:type="dxa" w:w="2592"/>
          </w:tcPr>
          <w:p>
            <w:r/>
            <w:r>
              <w:rPr>
                <w:b w:val="0"/>
                <w:sz w:val="17"/>
              </w:rPr>
              <w:t>Terra AI / geological AI platforms</w:t>
            </w:r>
          </w:p>
        </w:tc>
        <w:tc>
          <w:tcPr>
            <w:tcW w:type="dxa" w:w="2592"/>
          </w:tcPr>
          <w:p>
            <w:r/>
            <w:r>
              <w:rPr>
                <w:b w:val="0"/>
                <w:sz w:val="17"/>
              </w:rPr>
              <w:t>Geological/mineral AI and subsurface workflows.</w:t>
            </w:r>
          </w:p>
        </w:tc>
        <w:tc>
          <w:tcPr>
            <w:tcW w:type="dxa" w:w="2592"/>
          </w:tcPr>
          <w:p>
            <w:r/>
            <w:r>
              <w:rPr>
                <w:b w:val="0"/>
                <w:sz w:val="17"/>
              </w:rPr>
              <w:t>Adds CIL production reporting, parliamentary response flow and approval lifecycle.</w:t>
            </w:r>
          </w:p>
        </w:tc>
        <w:tc>
          <w:tcPr>
            <w:tcW w:type="dxa" w:w="2592"/>
          </w:tcPr>
          <w:p>
            <w:r/>
            <w:r>
              <w:rPr>
                <w:b w:val="0"/>
                <w:sz w:val="17"/>
              </w:rPr>
              <w:t>https://www.terraai.com/minerals</w:t>
            </w:r>
          </w:p>
        </w:tc>
      </w:tr>
      <w:tr>
        <w:tc>
          <w:tcPr>
            <w:tcW w:type="dxa" w:w="2592"/>
          </w:tcPr>
          <w:p>
            <w:r/>
            <w:r>
              <w:rPr>
                <w:b w:val="0"/>
                <w:sz w:val="17"/>
              </w:rPr>
              <w:t>Trimble Mine Insights</w:t>
            </w:r>
          </w:p>
        </w:tc>
        <w:tc>
          <w:tcPr>
            <w:tcW w:type="dxa" w:w="2592"/>
          </w:tcPr>
          <w:p>
            <w:r/>
            <w:r>
              <w:rPr>
                <w:b w:val="0"/>
                <w:sz w:val="17"/>
              </w:rPr>
              <w:t>Mining operational analytics.</w:t>
            </w:r>
          </w:p>
        </w:tc>
        <w:tc>
          <w:tcPr>
            <w:tcW w:type="dxa" w:w="2592"/>
          </w:tcPr>
          <w:p>
            <w:r/>
            <w:r>
              <w:rPr>
                <w:b w:val="0"/>
                <w:sz w:val="17"/>
              </w:rPr>
              <w:t>Adds historical scanned-document intelligence, government reporting and page-level evidence.</w:t>
            </w:r>
          </w:p>
        </w:tc>
        <w:tc>
          <w:tcPr>
            <w:tcW w:type="dxa" w:w="2592"/>
          </w:tcPr>
          <w:p>
            <w:r/>
            <w:r>
              <w:rPr>
                <w:b w:val="0"/>
                <w:sz w:val="17"/>
              </w:rPr>
              <w:t>https://geospatial.trimble.com/en/products/software/trimble-mine-insights</w:t>
            </w:r>
          </w:p>
        </w:tc>
      </w:tr>
      <w:tr>
        <w:tc>
          <w:tcPr>
            <w:tcW w:type="dxa" w:w="2592"/>
          </w:tcPr>
          <w:p>
            <w:r/>
            <w:r>
              <w:rPr>
                <w:b w:val="0"/>
                <w:sz w:val="17"/>
              </w:rPr>
              <w:t>Tagore AI</w:t>
            </w:r>
          </w:p>
        </w:tc>
        <w:tc>
          <w:tcPr>
            <w:tcW w:type="dxa" w:w="2592"/>
          </w:tcPr>
          <w:p>
            <w:r/>
            <w:r>
              <w:rPr>
                <w:b w:val="0"/>
                <w:sz w:val="17"/>
              </w:rPr>
              <w:t>Government/parliamentary research and cited information.</w:t>
            </w:r>
          </w:p>
        </w:tc>
        <w:tc>
          <w:tcPr>
            <w:tcW w:type="dxa" w:w="2592"/>
          </w:tcPr>
          <w:p>
            <w:r/>
            <w:r>
              <w:rPr>
                <w:b w:val="0"/>
                <w:sz w:val="17"/>
              </w:rPr>
              <w:t>Adds private subsidiary records, geological documents and official report workflow.</w:t>
            </w:r>
          </w:p>
        </w:tc>
        <w:tc>
          <w:tcPr>
            <w:tcW w:type="dxa" w:w="2592"/>
          </w:tcPr>
          <w:p>
            <w:r/>
            <w:r>
              <w:rPr>
                <w:b w:val="0"/>
                <w:sz w:val="17"/>
              </w:rPr>
              <w:t>https://tagore.ai/</w:t>
            </w:r>
          </w:p>
        </w:tc>
      </w:tr>
    </w:tbl>
    <w:p/>
    <w:p>
      <w:pPr>
        <w:pStyle w:val="Heading2"/>
      </w:pPr>
      <w:r>
        <w:t>9.1 Competitive Gap</w:t>
      </w:r>
    </w:p>
    <w:p>
      <w:r>
        <w:t>Existing tools prove individual capabilities are feasible: OCR, document search, geological AI, mining analytics, government Q&amp;A and enterprise workflows. The gap is an integrated CMPDI/CIL-specific platform combining structured SAP/ERP-style production data and unstructured historical documents with source-page evidence, conflict detection, topic intelligence, report generation and human approval.</w:t>
      </w:r>
    </w:p>
    <w:p>
      <w:pPr>
        <w:pStyle w:val="Heading1"/>
      </w:pPr>
      <w:r>
        <w:t>10. GEOVANI Product Design</w:t>
      </w:r>
    </w:p>
    <w:p>
      <w:pPr>
        <w:pStyle w:val="Heading2"/>
      </w:pPr>
      <w:r>
        <w:t>10.1 Inputs</w:t>
      </w:r>
    </w:p>
    <w:p>
      <w:pPr>
        <w:pStyle w:val="ListBullet"/>
      </w:pPr>
      <w:r>
        <w:t>Unstructured data: scanned PDFs, digital PDFs, DOCX, XLSX, images, geological maps, historical archives and parliamentary records.</w:t>
      </w:r>
    </w:p>
    <w:p>
      <w:pPr>
        <w:pStyle w:val="ListBullet"/>
      </w:pPr>
      <w:r>
        <w:t>Structured data: SAP/ERP exports or approved API feeds for production, target, dispatch, offtake, inventory and related metrics.</w:t>
      </w:r>
    </w:p>
    <w:p>
      <w:pPr>
        <w:pStyle w:val="ListBullet"/>
      </w:pPr>
      <w:r>
        <w:t>Metadata: subsidiary, department, document type, financial year, confidentiality level, status and owner.</w:t>
      </w:r>
    </w:p>
    <w:p>
      <w:pPr>
        <w:pStyle w:val="Heading2"/>
      </w:pPr>
      <w:r>
        <w:t>10.2 Secure Evidence Pipeline</w:t>
      </w:r>
    </w:p>
    <w:p>
      <w:r>
        <w:t>Documents/SAP exports → File validation → OCR/text/table extraction → Page-aware chunking → Structured fact extraction → Validation and conflict detection → PostgreSQL/MongoDB evidence repository → Search/RAG/topics/report generation → Review/approval.</w:t>
      </w:r>
    </w:p>
    <w:p>
      <w:pPr>
        <w:pStyle w:val="Heading2"/>
      </w:pPr>
      <w:r>
        <w:t>10.3 Three Core Modules</w:t>
      </w:r>
    </w:p>
    <w:tbl>
      <w:tblPr>
        <w:tblStyle w:val="TableGrid"/>
        <w:tblW w:type="auto" w:w="0"/>
        <w:tblLook w:firstColumn="1" w:firstRow="1" w:lastColumn="0" w:lastRow="0" w:noHBand="0" w:noVBand="1" w:val="04A0"/>
      </w:tblPr>
      <w:tblGrid>
        <w:gridCol w:w="3456"/>
        <w:gridCol w:w="3456"/>
        <w:gridCol w:w="3456"/>
      </w:tblGrid>
      <w:tr>
        <w:tc>
          <w:tcPr>
            <w:tcW w:type="dxa" w:w="3456"/>
            <w:shd w:fill="123B5D"/>
          </w:tcPr>
          <w:p>
            <w:r/>
            <w:r>
              <w:rPr>
                <w:b/>
                <w:sz w:val="17"/>
              </w:rPr>
              <w:t>Module</w:t>
            </w:r>
          </w:p>
        </w:tc>
        <w:tc>
          <w:tcPr>
            <w:tcW w:type="dxa" w:w="3456"/>
            <w:shd w:fill="123B5D"/>
          </w:tcPr>
          <w:p>
            <w:r/>
            <w:r>
              <w:rPr>
                <w:b/>
                <w:sz w:val="17"/>
              </w:rPr>
              <w:t>User Value</w:t>
            </w:r>
          </w:p>
        </w:tc>
        <w:tc>
          <w:tcPr>
            <w:tcW w:type="dxa" w:w="3456"/>
            <w:shd w:fill="123B5D"/>
          </w:tcPr>
          <w:p>
            <w:r/>
            <w:r>
              <w:rPr>
                <w:b/>
                <w:sz w:val="17"/>
              </w:rPr>
              <w:t>Key Controls</w:t>
            </w:r>
          </w:p>
        </w:tc>
      </w:tr>
      <w:tr>
        <w:tc>
          <w:tcPr>
            <w:tcW w:type="dxa" w:w="3456"/>
          </w:tcPr>
          <w:p>
            <w:r/>
            <w:r>
              <w:rPr>
                <w:b w:val="0"/>
                <w:sz w:val="17"/>
              </w:rPr>
              <w:t>Evidence-Based Query &amp; Response</w:t>
            </w:r>
          </w:p>
        </w:tc>
        <w:tc>
          <w:tcPr>
            <w:tcW w:type="dxa" w:w="3456"/>
          </w:tcPr>
          <w:p>
            <w:r/>
            <w:r>
              <w:rPr>
                <w:b w:val="0"/>
                <w:sz w:val="17"/>
              </w:rPr>
              <w:t>Ask questions in English/Hindi/Hinglish; receive answer with source document and exact page.</w:t>
            </w:r>
          </w:p>
        </w:tc>
        <w:tc>
          <w:tcPr>
            <w:tcW w:type="dxa" w:w="3456"/>
          </w:tcPr>
          <w:p>
            <w:r/>
            <w:r>
              <w:rPr>
                <w:b w:val="0"/>
                <w:sz w:val="17"/>
              </w:rPr>
              <w:t>Permission filtering, verified-fact preference, citations, no-evidence response, conflict warning.</w:t>
            </w:r>
          </w:p>
        </w:tc>
      </w:tr>
      <w:tr>
        <w:tc>
          <w:tcPr>
            <w:tcW w:type="dxa" w:w="3456"/>
          </w:tcPr>
          <w:p>
            <w:r/>
            <w:r>
              <w:rPr>
                <w:b w:val="0"/>
                <w:sz w:val="17"/>
              </w:rPr>
              <w:t>Topic Intelligence &amp; Recurring Issue Detection</w:t>
            </w:r>
          </w:p>
        </w:tc>
        <w:tc>
          <w:tcPr>
            <w:tcW w:type="dxa" w:w="3456"/>
          </w:tcPr>
          <w:p>
            <w:r/>
            <w:r>
              <w:rPr>
                <w:b w:val="0"/>
                <w:sz w:val="17"/>
              </w:rPr>
              <w:t>Identify patterns by subsidiary, year, department and document type.</w:t>
            </w:r>
          </w:p>
        </w:tc>
        <w:tc>
          <w:tcPr>
            <w:tcW w:type="dxa" w:w="3456"/>
          </w:tcPr>
          <w:p>
            <w:r/>
            <w:r>
              <w:rPr>
                <w:b w:val="0"/>
                <w:sz w:val="17"/>
              </w:rPr>
              <w:t>TF-IDF/phrases, topic dictionary, evidence-linked words, source-page drilldown.</w:t>
            </w:r>
          </w:p>
        </w:tc>
      </w:tr>
      <w:tr>
        <w:tc>
          <w:tcPr>
            <w:tcW w:type="dxa" w:w="3456"/>
          </w:tcPr>
          <w:p>
            <w:r/>
            <w:r>
              <w:rPr>
                <w:b w:val="0"/>
                <w:sz w:val="17"/>
              </w:rPr>
              <w:t>Approval-Ready Report Generation</w:t>
            </w:r>
          </w:p>
        </w:tc>
        <w:tc>
          <w:tcPr>
            <w:tcW w:type="dxa" w:w="3456"/>
          </w:tcPr>
          <w:p>
            <w:r/>
            <w:r>
              <w:rPr>
                <w:b w:val="0"/>
                <w:sz w:val="17"/>
              </w:rPr>
              <w:t>Generate production reports, geological summaries, parliamentary drafts and briefings.</w:t>
            </w:r>
          </w:p>
        </w:tc>
        <w:tc>
          <w:tcPr>
            <w:tcW w:type="dxa" w:w="3456"/>
          </w:tcPr>
          <w:p>
            <w:r/>
            <w:r>
              <w:rPr>
                <w:b w:val="0"/>
                <w:sz w:val="17"/>
              </w:rPr>
              <w:t>Backend calculations, verified values, source list, reviewer/approver status.</w:t>
            </w:r>
          </w:p>
        </w:tc>
      </w:tr>
    </w:tbl>
    <w:p/>
    <w:p>
      <w:pPr>
        <w:pStyle w:val="Heading1"/>
      </w:pPr>
      <w:r>
        <w:t>11. Data Architecture and Integration Case Study</w:t>
      </w:r>
    </w:p>
    <w:p>
      <w:pPr>
        <w:pStyle w:val="Heading2"/>
      </w:pPr>
      <w:r>
        <w:t>11.1 Recommended Data Model</w:t>
      </w:r>
    </w:p>
    <w:tbl>
      <w:tblPr>
        <w:tblStyle w:val="TableGrid"/>
        <w:tblW w:type="auto" w:w="0"/>
        <w:tblLook w:firstColumn="1" w:firstRow="1" w:lastColumn="0" w:lastRow="0" w:noHBand="0" w:noVBand="1" w:val="04A0"/>
      </w:tblPr>
      <w:tblGrid>
        <w:gridCol w:w="5184"/>
        <w:gridCol w:w="5184"/>
      </w:tblGrid>
      <w:tr>
        <w:tc>
          <w:tcPr>
            <w:tcW w:type="dxa" w:w="5184"/>
            <w:shd w:fill="123B5D"/>
          </w:tcPr>
          <w:p>
            <w:r/>
            <w:r>
              <w:rPr>
                <w:b/>
                <w:sz w:val="17"/>
              </w:rPr>
              <w:t>Data Layer</w:t>
            </w:r>
          </w:p>
        </w:tc>
        <w:tc>
          <w:tcPr>
            <w:tcW w:type="dxa" w:w="5184"/>
            <w:shd w:fill="123B5D"/>
          </w:tcPr>
          <w:p>
            <w:r/>
            <w:r>
              <w:rPr>
                <w:b/>
                <w:sz w:val="17"/>
              </w:rPr>
              <w:t>Recommended Contents</w:t>
            </w:r>
          </w:p>
        </w:tc>
      </w:tr>
      <w:tr>
        <w:tc>
          <w:tcPr>
            <w:tcW w:type="dxa" w:w="5184"/>
          </w:tcPr>
          <w:p>
            <w:r/>
            <w:r>
              <w:rPr>
                <w:b w:val="0"/>
                <w:sz w:val="17"/>
              </w:rPr>
              <w:t>Document Repository</w:t>
            </w:r>
          </w:p>
        </w:tc>
        <w:tc>
          <w:tcPr>
            <w:tcW w:type="dxa" w:w="5184"/>
          </w:tcPr>
          <w:p>
            <w:r/>
            <w:r>
              <w:rPr>
                <w:b w:val="0"/>
                <w:sz w:val="17"/>
              </w:rPr>
              <w:t>Original file, hash, owner, confidentiality, version, metadata</w:t>
            </w:r>
          </w:p>
        </w:tc>
      </w:tr>
      <w:tr>
        <w:tc>
          <w:tcPr>
            <w:tcW w:type="dxa" w:w="5184"/>
          </w:tcPr>
          <w:p>
            <w:r/>
            <w:r>
              <w:rPr>
                <w:b w:val="0"/>
                <w:sz w:val="17"/>
              </w:rPr>
              <w:t>Page/Chunk Repository</w:t>
            </w:r>
          </w:p>
        </w:tc>
        <w:tc>
          <w:tcPr>
            <w:tcW w:type="dxa" w:w="5184"/>
          </w:tcPr>
          <w:p>
            <w:r/>
            <w:r>
              <w:rPr>
                <w:b w:val="0"/>
                <w:sz w:val="17"/>
              </w:rPr>
              <w:t>Page number, page text, chunk index, heading, source type, OCR confidence</w:t>
            </w:r>
          </w:p>
        </w:tc>
      </w:tr>
      <w:tr>
        <w:tc>
          <w:tcPr>
            <w:tcW w:type="dxa" w:w="5184"/>
          </w:tcPr>
          <w:p>
            <w:r/>
            <w:r>
              <w:rPr>
                <w:b w:val="0"/>
                <w:sz w:val="17"/>
              </w:rPr>
              <w:t>Structured Facts</w:t>
            </w:r>
          </w:p>
        </w:tc>
        <w:tc>
          <w:tcPr>
            <w:tcW w:type="dxa" w:w="5184"/>
          </w:tcPr>
          <w:p>
            <w:r/>
            <w:r>
              <w:rPr>
                <w:b w:val="0"/>
                <w:sz w:val="17"/>
              </w:rPr>
              <w:t>Field name, raw value, normalized value, unit, source page, confidence, verification status</w:t>
            </w:r>
          </w:p>
        </w:tc>
      </w:tr>
      <w:tr>
        <w:tc>
          <w:tcPr>
            <w:tcW w:type="dxa" w:w="5184"/>
          </w:tcPr>
          <w:p>
            <w:r/>
            <w:r>
              <w:rPr>
                <w:b w:val="0"/>
                <w:sz w:val="17"/>
              </w:rPr>
              <w:t>Production/ERP Facts</w:t>
            </w:r>
          </w:p>
        </w:tc>
        <w:tc>
          <w:tcPr>
            <w:tcW w:type="dxa" w:w="5184"/>
          </w:tcPr>
          <w:p>
            <w:r/>
            <w:r>
              <w:rPr>
                <w:b w:val="0"/>
                <w:sz w:val="17"/>
              </w:rPr>
              <w:t>Mine, subsidiary, period, target, actual, dispatch, offtake, source system, ingestion timestamp</w:t>
            </w:r>
          </w:p>
        </w:tc>
      </w:tr>
      <w:tr>
        <w:tc>
          <w:tcPr>
            <w:tcW w:type="dxa" w:w="5184"/>
          </w:tcPr>
          <w:p>
            <w:r/>
            <w:r>
              <w:rPr>
                <w:b w:val="0"/>
                <w:sz w:val="17"/>
              </w:rPr>
              <w:t>Topics/Keywords</w:t>
            </w:r>
          </w:p>
        </w:tc>
        <w:tc>
          <w:tcPr>
            <w:tcW w:type="dxa" w:w="5184"/>
          </w:tcPr>
          <w:p>
            <w:r/>
            <w:r>
              <w:rPr>
                <w:b w:val="0"/>
                <w:sz w:val="17"/>
              </w:rPr>
              <w:t>Keyword, phrase, topic, count, TF-IDF score, sources, subsidiary/year breakdown</w:t>
            </w:r>
          </w:p>
        </w:tc>
      </w:tr>
      <w:tr>
        <w:tc>
          <w:tcPr>
            <w:tcW w:type="dxa" w:w="5184"/>
          </w:tcPr>
          <w:p>
            <w:r/>
            <w:r>
              <w:rPr>
                <w:b w:val="0"/>
                <w:sz w:val="17"/>
              </w:rPr>
              <w:t>Reports</w:t>
            </w:r>
          </w:p>
        </w:tc>
        <w:tc>
          <w:tcPr>
            <w:tcW w:type="dxa" w:w="5184"/>
          </w:tcPr>
          <w:p>
            <w:r/>
            <w:r>
              <w:rPr>
                <w:b w:val="0"/>
                <w:sz w:val="17"/>
              </w:rPr>
              <w:t>Template, source facts, citations, draft/approved status, approver and output file</w:t>
            </w:r>
          </w:p>
        </w:tc>
      </w:tr>
      <w:tr>
        <w:tc>
          <w:tcPr>
            <w:tcW w:type="dxa" w:w="5184"/>
          </w:tcPr>
          <w:p>
            <w:r/>
            <w:r>
              <w:rPr>
                <w:b w:val="0"/>
                <w:sz w:val="17"/>
              </w:rPr>
              <w:t>Audit Logs</w:t>
            </w:r>
          </w:p>
        </w:tc>
        <w:tc>
          <w:tcPr>
            <w:tcW w:type="dxa" w:w="5184"/>
          </w:tcPr>
          <w:p>
            <w:r/>
            <w:r>
              <w:rPr>
                <w:b w:val="0"/>
                <w:sz w:val="17"/>
              </w:rPr>
              <w:t>User action, timestamp, entity, old/new state, reviewer/approval comments</w:t>
            </w:r>
          </w:p>
        </w:tc>
      </w:tr>
    </w:tbl>
    <w:p/>
    <w:p>
      <w:pPr>
        <w:pStyle w:val="Heading2"/>
      </w:pPr>
      <w:r>
        <w:t>11.2 SAP/ERP Integration Position</w:t>
      </w:r>
    </w:p>
    <w:p>
      <w:r>
        <w:t>GEOVANI should complement—not replace—an existing ERP/SAP environment. The ERP provides structured operational data; GEOVANI adds document intelligence and reporting traceability. Prototype integration should be CSV/XLSX import. Production integration can use scheduled file exports, approved SAP OData/API feeds or RFC/BAPI middleware after formal authorization, security review and data-owner approval.</w:t>
      </w:r>
    </w:p>
    <w:p>
      <w:pPr>
        <w:pStyle w:val="Heading1"/>
      </w:pPr>
      <w:r>
        <w:t>12. Validation and Governance Framework</w:t>
      </w:r>
    </w:p>
    <w:p>
      <w:pPr>
        <w:pStyle w:val="ListBullet"/>
      </w:pPr>
      <w:r>
        <w:t>Numeric checks: non-negative values, valid units, decimal-format checks and expected ranges.</w:t>
      </w:r>
    </w:p>
    <w:p>
      <w:pPr>
        <w:pStyle w:val="ListBullet"/>
      </w:pPr>
      <w:r>
        <w:t>Period checks: financial year versus calendar year, monthly/annual reporting period alignment.</w:t>
      </w:r>
    </w:p>
    <w:p>
      <w:pPr>
        <w:pStyle w:val="ListBullet"/>
      </w:pPr>
      <w:r>
        <w:t>Reconciliation: target, actual, dispatch and total relationships where valid.</w:t>
      </w:r>
    </w:p>
    <w:p>
      <w:pPr>
        <w:pStyle w:val="ListBullet"/>
      </w:pPr>
      <w:r>
        <w:t>Conflict detection: display both values and source pages; never silently overwrite.</w:t>
      </w:r>
    </w:p>
    <w:p>
      <w:pPr>
        <w:pStyle w:val="ListBullet"/>
      </w:pPr>
      <w:r>
        <w:t>Classification: Draft, Pending Review, Verified, Conflict, Approved, Rejected.</w:t>
      </w:r>
    </w:p>
    <w:p>
      <w:pPr>
        <w:pStyle w:val="ListBullet"/>
      </w:pPr>
      <w:r>
        <w:t>Access control: subsidiary and department filtering before search/retrieval.</w:t>
      </w:r>
    </w:p>
    <w:p>
      <w:pPr>
        <w:pStyle w:val="ListBullet"/>
      </w:pPr>
      <w:r>
        <w:t>Human-in-the-loop: AI Extracts → Reviewer Verifies → Approver Releases.</w:t>
      </w:r>
    </w:p>
    <w:p>
      <w:pPr>
        <w:pStyle w:val="ListBullet"/>
      </w:pPr>
      <w:r>
        <w:t>Auditability: retain source page, user action, timestamp, version and reviewer/approver decision.</w:t>
      </w:r>
    </w:p>
    <w:p>
      <w:pPr>
        <w:pStyle w:val="Heading1"/>
      </w:pPr>
      <w:r>
        <w:t>13. Proposed Pilot Evaluation Method</w:t>
      </w:r>
    </w:p>
    <w:tbl>
      <w:tblPr>
        <w:tblStyle w:val="TableGrid"/>
        <w:tblW w:type="auto" w:w="0"/>
        <w:tblLook w:firstColumn="1" w:firstRow="1" w:lastColumn="0" w:lastRow="0" w:noHBand="0" w:noVBand="1" w:val="04A0"/>
      </w:tblPr>
      <w:tblGrid>
        <w:gridCol w:w="3456"/>
        <w:gridCol w:w="3456"/>
        <w:gridCol w:w="3456"/>
      </w:tblGrid>
      <w:tr>
        <w:tc>
          <w:tcPr>
            <w:tcW w:type="dxa" w:w="3456"/>
            <w:shd w:fill="123B5D"/>
          </w:tcPr>
          <w:p>
            <w:r/>
            <w:r>
              <w:rPr>
                <w:b/>
                <w:sz w:val="17"/>
              </w:rPr>
              <w:t>Metric</w:t>
            </w:r>
          </w:p>
        </w:tc>
        <w:tc>
          <w:tcPr>
            <w:tcW w:type="dxa" w:w="3456"/>
            <w:shd w:fill="123B5D"/>
          </w:tcPr>
          <w:p>
            <w:r/>
            <w:r>
              <w:rPr>
                <w:b/>
                <w:sz w:val="17"/>
              </w:rPr>
              <w:t>How It Will Be Measured</w:t>
            </w:r>
          </w:p>
        </w:tc>
        <w:tc>
          <w:tcPr>
            <w:tcW w:type="dxa" w:w="3456"/>
            <w:shd w:fill="123B5D"/>
          </w:tcPr>
          <w:p>
            <w:r/>
            <w:r>
              <w:rPr>
                <w:b/>
                <w:sz w:val="17"/>
              </w:rPr>
              <w:t>Target / Expected Direction</w:t>
            </w:r>
          </w:p>
        </w:tc>
      </w:tr>
      <w:tr>
        <w:tc>
          <w:tcPr>
            <w:tcW w:type="dxa" w:w="3456"/>
          </w:tcPr>
          <w:p>
            <w:r/>
            <w:r>
              <w:rPr>
                <w:b w:val="0"/>
                <w:sz w:val="17"/>
              </w:rPr>
              <w:t>OCR/Text Extraction Quality</w:t>
            </w:r>
          </w:p>
        </w:tc>
        <w:tc>
          <w:tcPr>
            <w:tcW w:type="dxa" w:w="3456"/>
          </w:tcPr>
          <w:p>
            <w:r/>
            <w:r>
              <w:rPr>
                <w:b w:val="0"/>
                <w:sz w:val="17"/>
              </w:rPr>
              <w:t>Compare extracted text/numbers against manually labelled golden pages.</w:t>
            </w:r>
          </w:p>
        </w:tc>
        <w:tc>
          <w:tcPr>
            <w:tcW w:type="dxa" w:w="3456"/>
          </w:tcPr>
          <w:p>
            <w:r/>
            <w:r>
              <w:rPr>
                <w:b w:val="0"/>
                <w:sz w:val="17"/>
              </w:rPr>
              <w:t>High accuracy on clean PDFs; review flags for difficult scans.</w:t>
            </w:r>
          </w:p>
        </w:tc>
      </w:tr>
      <w:tr>
        <w:tc>
          <w:tcPr>
            <w:tcW w:type="dxa" w:w="3456"/>
          </w:tcPr>
          <w:p>
            <w:r/>
            <w:r>
              <w:rPr>
                <w:b w:val="0"/>
                <w:sz w:val="17"/>
              </w:rPr>
              <w:t>Structured Extraction Accuracy</w:t>
            </w:r>
          </w:p>
        </w:tc>
        <w:tc>
          <w:tcPr>
            <w:tcW w:type="dxa" w:w="3456"/>
          </w:tcPr>
          <w:p>
            <w:r/>
            <w:r>
              <w:rPr>
                <w:b w:val="0"/>
                <w:sz w:val="17"/>
              </w:rPr>
              <w:t>Correct fields / total audited fields, separately for numbers, units, periods and entities.</w:t>
            </w:r>
          </w:p>
        </w:tc>
        <w:tc>
          <w:tcPr>
            <w:tcW w:type="dxa" w:w="3456"/>
          </w:tcPr>
          <w:p>
            <w:r/>
            <w:r>
              <w:rPr>
                <w:b w:val="0"/>
                <w:sz w:val="17"/>
              </w:rPr>
              <w:t>Pilot target to be defined with domain experts; do not claim untested values.</w:t>
            </w:r>
          </w:p>
        </w:tc>
      </w:tr>
      <w:tr>
        <w:tc>
          <w:tcPr>
            <w:tcW w:type="dxa" w:w="3456"/>
          </w:tcPr>
          <w:p>
            <w:r/>
            <w:r>
              <w:rPr>
                <w:b w:val="0"/>
                <w:sz w:val="17"/>
              </w:rPr>
              <w:t>Citation Correctness</w:t>
            </w:r>
          </w:p>
        </w:tc>
        <w:tc>
          <w:tcPr>
            <w:tcW w:type="dxa" w:w="3456"/>
          </w:tcPr>
          <w:p>
            <w:r/>
            <w:r>
              <w:rPr>
                <w:b w:val="0"/>
                <w:sz w:val="17"/>
              </w:rPr>
              <w:t>Correct cited document/page / total sampled citations.</w:t>
            </w:r>
          </w:p>
        </w:tc>
        <w:tc>
          <w:tcPr>
            <w:tcW w:type="dxa" w:w="3456"/>
          </w:tcPr>
          <w:p>
            <w:r/>
            <w:r>
              <w:rPr>
                <w:b w:val="0"/>
                <w:sz w:val="17"/>
              </w:rPr>
              <w:t>Near-complete source traceability for generated claims.</w:t>
            </w:r>
          </w:p>
        </w:tc>
      </w:tr>
      <w:tr>
        <w:tc>
          <w:tcPr>
            <w:tcW w:type="dxa" w:w="3456"/>
          </w:tcPr>
          <w:p>
            <w:r/>
            <w:r>
              <w:rPr>
                <w:b w:val="0"/>
                <w:sz w:val="17"/>
              </w:rPr>
              <w:t>Report Time Reduction</w:t>
            </w:r>
          </w:p>
        </w:tc>
        <w:tc>
          <w:tcPr>
            <w:tcW w:type="dxa" w:w="3456"/>
          </w:tcPr>
          <w:p>
            <w:r/>
            <w:r>
              <w:rPr>
                <w:b w:val="0"/>
                <w:sz w:val="17"/>
              </w:rPr>
              <w:t>(Baseline manual time − platform-assisted time) / baseline manual time.</w:t>
            </w:r>
          </w:p>
        </w:tc>
        <w:tc>
          <w:tcPr>
            <w:tcW w:type="dxa" w:w="3456"/>
          </w:tcPr>
          <w:p>
            <w:r/>
            <w:r>
              <w:rPr>
                <w:b w:val="0"/>
                <w:sz w:val="17"/>
              </w:rPr>
              <w:t>Measure on representative report types.</w:t>
            </w:r>
          </w:p>
        </w:tc>
      </w:tr>
      <w:tr>
        <w:tc>
          <w:tcPr>
            <w:tcW w:type="dxa" w:w="3456"/>
          </w:tcPr>
          <w:p>
            <w:r/>
            <w:r>
              <w:rPr>
                <w:b w:val="0"/>
                <w:sz w:val="17"/>
              </w:rPr>
              <w:t>Automation Rate</w:t>
            </w:r>
          </w:p>
        </w:tc>
        <w:tc>
          <w:tcPr>
            <w:tcW w:type="dxa" w:w="3456"/>
          </w:tcPr>
          <w:p>
            <w:r/>
            <w:r>
              <w:rPr>
                <w:b w:val="0"/>
                <w:sz w:val="17"/>
              </w:rPr>
              <w:t>Eligible steps completed without manual re-entry / total eligible steps.</w:t>
            </w:r>
          </w:p>
        </w:tc>
        <w:tc>
          <w:tcPr>
            <w:tcW w:type="dxa" w:w="3456"/>
          </w:tcPr>
          <w:p>
            <w:r/>
            <w:r>
              <w:rPr>
                <w:b w:val="0"/>
                <w:sz w:val="17"/>
              </w:rPr>
              <w:t>Measure repetitive workflow automation, not human approvals.</w:t>
            </w:r>
          </w:p>
        </w:tc>
      </w:tr>
      <w:tr>
        <w:tc>
          <w:tcPr>
            <w:tcW w:type="dxa" w:w="3456"/>
          </w:tcPr>
          <w:p>
            <w:r/>
            <w:r>
              <w:rPr>
                <w:b w:val="0"/>
                <w:sz w:val="17"/>
              </w:rPr>
              <w:t>Conflict Detection Rate</w:t>
            </w:r>
          </w:p>
        </w:tc>
        <w:tc>
          <w:tcPr>
            <w:tcW w:type="dxa" w:w="3456"/>
          </w:tcPr>
          <w:p>
            <w:r/>
            <w:r>
              <w:rPr>
                <w:b w:val="0"/>
                <w:sz w:val="17"/>
              </w:rPr>
              <w:t>Known/sample conflicts surfaced by system.</w:t>
            </w:r>
          </w:p>
        </w:tc>
        <w:tc>
          <w:tcPr>
            <w:tcW w:type="dxa" w:w="3456"/>
          </w:tcPr>
          <w:p>
            <w:r/>
            <w:r>
              <w:rPr>
                <w:b w:val="0"/>
                <w:sz w:val="17"/>
              </w:rPr>
              <w:t>Demonstrate with seeded conflict cases.</w:t>
            </w:r>
          </w:p>
        </w:tc>
      </w:tr>
      <w:tr>
        <w:tc>
          <w:tcPr>
            <w:tcW w:type="dxa" w:w="3456"/>
          </w:tcPr>
          <w:p>
            <w:r/>
            <w:r>
              <w:rPr>
                <w:b w:val="0"/>
                <w:sz w:val="17"/>
              </w:rPr>
              <w:t>Access Control Correctness</w:t>
            </w:r>
          </w:p>
        </w:tc>
        <w:tc>
          <w:tcPr>
            <w:tcW w:type="dxa" w:w="3456"/>
          </w:tcPr>
          <w:p>
            <w:r/>
            <w:r>
              <w:rPr>
                <w:b w:val="0"/>
                <w:sz w:val="17"/>
              </w:rPr>
              <w:t>Unauthorized-document retrieval attempts blocked / tested attempts.</w:t>
            </w:r>
          </w:p>
        </w:tc>
        <w:tc>
          <w:tcPr>
            <w:tcW w:type="dxa" w:w="3456"/>
          </w:tcPr>
          <w:p>
            <w:r/>
            <w:r>
              <w:rPr>
                <w:b w:val="0"/>
                <w:sz w:val="17"/>
              </w:rPr>
              <w:t>100% in role-based test cases.</w:t>
            </w:r>
          </w:p>
        </w:tc>
      </w:tr>
    </w:tbl>
    <w:p/>
    <w:p>
      <w:pPr>
        <w:pStyle w:val="Heading1"/>
      </w:pPr>
      <w:r>
        <w:t>14. SIH Prototype Feasibility</w:t>
      </w:r>
    </w:p>
    <w:p>
      <w:pPr>
        <w:pStyle w:val="Heading2"/>
      </w:pPr>
      <w:r>
        <w:t>14.1 Feasible Prototype Scope</w:t>
      </w:r>
    </w:p>
    <w:p>
      <w:pPr>
        <w:pStyle w:val="ListBullet"/>
      </w:pPr>
      <w:r>
        <w:t>Role-based login: Admin, Subsidiary Officer, Reviewer, CIL HQ, Ministry Viewer.</w:t>
      </w:r>
    </w:p>
    <w:p>
      <w:pPr>
        <w:pStyle w:val="ListBullet"/>
      </w:pPr>
      <w:r>
        <w:t>Public/synthetic data corpus of 10–20 documents across 3–5 subsidiaries.</w:t>
      </w:r>
    </w:p>
    <w:p>
      <w:pPr>
        <w:pStyle w:val="ListBullet"/>
      </w:pPr>
      <w:r>
        <w:t>PDF/XLSX upload, page-wise text extraction and basic OCR fallback.</w:t>
      </w:r>
    </w:p>
    <w:p>
      <w:pPr>
        <w:pStyle w:val="ListBullet"/>
      </w:pPr>
      <w:r>
        <w:t>Extraction of target, actual production, unit, year and source page from selected sample reports.</w:t>
      </w:r>
    </w:p>
    <w:p>
      <w:pPr>
        <w:pStyle w:val="ListBullet"/>
      </w:pPr>
      <w:r>
        <w:t>Keyword/TF-IDF topic intelligence with subsidiary/year/document-type filters.</w:t>
      </w:r>
    </w:p>
    <w:p>
      <w:pPr>
        <w:pStyle w:val="ListBullet"/>
      </w:pPr>
      <w:r>
        <w:t>RAG Q&amp;A with exact page citations and local fallback responses.</w:t>
      </w:r>
    </w:p>
    <w:p>
      <w:pPr>
        <w:pStyle w:val="ListBullet"/>
      </w:pPr>
      <w:r>
        <w:t>DOCX report generation from verified facts.</w:t>
      </w:r>
    </w:p>
    <w:p>
      <w:pPr>
        <w:pStyle w:val="ListBullet"/>
      </w:pPr>
      <w:r>
        <w:t>Review/approval status flow and audit log.</w:t>
      </w:r>
    </w:p>
    <w:p>
      <w:pPr>
        <w:pStyle w:val="Heading2"/>
      </w:pPr>
      <w:r>
        <w:t>14.2 Not Required for Initial Prototype</w:t>
      </w:r>
    </w:p>
    <w:p>
      <w:pPr>
        <w:pStyle w:val="ListBullet"/>
      </w:pPr>
      <w:r>
        <w:t>Custom foundation-model training.</w:t>
      </w:r>
    </w:p>
    <w:p>
      <w:pPr>
        <w:pStyle w:val="ListBullet"/>
      </w:pPr>
      <w:r>
        <w:t>Live confidential SAP access or direct production database access.</w:t>
      </w:r>
    </w:p>
    <w:p>
      <w:pPr>
        <w:pStyle w:val="ListBullet"/>
      </w:pPr>
      <w:r>
        <w:t>Full GIS platform, all subsidiaries or every document category.</w:t>
      </w:r>
    </w:p>
    <w:p>
      <w:pPr>
        <w:pStyle w:val="ListBullet"/>
      </w:pPr>
      <w:r>
        <w:t>Full enterprise SSO/eOffice deployment.</w:t>
      </w:r>
    </w:p>
    <w:p>
      <w:pPr>
        <w:pStyle w:val="ListBullet"/>
      </w:pPr>
      <w:r>
        <w:t>Autonomous decision-making or direct official publication without approval.</w:t>
      </w:r>
    </w:p>
    <w:p>
      <w:pPr>
        <w:pStyle w:val="Heading1"/>
      </w:pPr>
      <w:r>
        <w:t>15. Risks and Mitigation</w:t>
      </w:r>
    </w:p>
    <w:tbl>
      <w:tblPr>
        <w:tblStyle w:val="TableGrid"/>
        <w:tblW w:type="auto" w:w="0"/>
        <w:tblLook w:firstColumn="1" w:firstRow="1" w:lastColumn="0" w:lastRow="0" w:noHBand="0" w:noVBand="1" w:val="04A0"/>
      </w:tblPr>
      <w:tblGrid>
        <w:gridCol w:w="3456"/>
        <w:gridCol w:w="3456"/>
        <w:gridCol w:w="3456"/>
      </w:tblGrid>
      <w:tr>
        <w:tc>
          <w:tcPr>
            <w:tcW w:type="dxa" w:w="3456"/>
            <w:shd w:fill="123B5D"/>
          </w:tcPr>
          <w:p>
            <w:r/>
            <w:r>
              <w:rPr>
                <w:b/>
                <w:sz w:val="17"/>
              </w:rPr>
              <w:t>Risk</w:t>
            </w:r>
          </w:p>
        </w:tc>
        <w:tc>
          <w:tcPr>
            <w:tcW w:type="dxa" w:w="3456"/>
            <w:shd w:fill="123B5D"/>
          </w:tcPr>
          <w:p>
            <w:r/>
            <w:r>
              <w:rPr>
                <w:b/>
                <w:sz w:val="17"/>
              </w:rPr>
              <w:t>Impact</w:t>
            </w:r>
          </w:p>
        </w:tc>
        <w:tc>
          <w:tcPr>
            <w:tcW w:type="dxa" w:w="3456"/>
            <w:shd w:fill="123B5D"/>
          </w:tcPr>
          <w:p>
            <w:r/>
            <w:r>
              <w:rPr>
                <w:b/>
                <w:sz w:val="17"/>
              </w:rPr>
              <w:t>Mitigation</w:t>
            </w:r>
          </w:p>
        </w:tc>
      </w:tr>
      <w:tr>
        <w:tc>
          <w:tcPr>
            <w:tcW w:type="dxa" w:w="3456"/>
          </w:tcPr>
          <w:p>
            <w:r/>
            <w:r>
              <w:rPr>
                <w:b w:val="0"/>
                <w:sz w:val="17"/>
              </w:rPr>
              <w:t>Poor scanned PDFs</w:t>
            </w:r>
          </w:p>
        </w:tc>
        <w:tc>
          <w:tcPr>
            <w:tcW w:type="dxa" w:w="3456"/>
          </w:tcPr>
          <w:p>
            <w:r/>
            <w:r>
              <w:rPr>
                <w:b w:val="0"/>
                <w:sz w:val="17"/>
              </w:rPr>
              <w:t>Wrong OCR/extraction</w:t>
            </w:r>
          </w:p>
        </w:tc>
        <w:tc>
          <w:tcPr>
            <w:tcW w:type="dxa" w:w="3456"/>
          </w:tcPr>
          <w:p>
            <w:r/>
            <w:r>
              <w:rPr>
                <w:b w:val="0"/>
                <w:sz w:val="17"/>
              </w:rPr>
              <w:t>OCR confidence, page preview, reviewer queue and original-source preservation</w:t>
            </w:r>
          </w:p>
        </w:tc>
      </w:tr>
      <w:tr>
        <w:tc>
          <w:tcPr>
            <w:tcW w:type="dxa" w:w="3456"/>
          </w:tcPr>
          <w:p>
            <w:r/>
            <w:r>
              <w:rPr>
                <w:b w:val="0"/>
                <w:sz w:val="17"/>
              </w:rPr>
              <w:t>LLM hallucination</w:t>
            </w:r>
          </w:p>
        </w:tc>
        <w:tc>
          <w:tcPr>
            <w:tcW w:type="dxa" w:w="3456"/>
          </w:tcPr>
          <w:p>
            <w:r/>
            <w:r>
              <w:rPr>
                <w:b w:val="0"/>
                <w:sz w:val="17"/>
              </w:rPr>
              <w:t>Unsupported official claims</w:t>
            </w:r>
          </w:p>
        </w:tc>
        <w:tc>
          <w:tcPr>
            <w:tcW w:type="dxa" w:w="3456"/>
          </w:tcPr>
          <w:p>
            <w:r/>
            <w:r>
              <w:rPr>
                <w:b w:val="0"/>
                <w:sz w:val="17"/>
              </w:rPr>
              <w:t>RAG, citations, verified-fact preference, abstention and answer validation</w:t>
            </w:r>
          </w:p>
        </w:tc>
      </w:tr>
      <w:tr>
        <w:tc>
          <w:tcPr>
            <w:tcW w:type="dxa" w:w="3456"/>
          </w:tcPr>
          <w:p>
            <w:r/>
            <w:r>
              <w:rPr>
                <w:b w:val="0"/>
                <w:sz w:val="17"/>
              </w:rPr>
              <w:t>Conflicting records</w:t>
            </w:r>
          </w:p>
        </w:tc>
        <w:tc>
          <w:tcPr>
            <w:tcW w:type="dxa" w:w="3456"/>
          </w:tcPr>
          <w:p>
            <w:r/>
            <w:r>
              <w:rPr>
                <w:b w:val="0"/>
                <w:sz w:val="17"/>
              </w:rPr>
              <w:t>Incorrect report figures</w:t>
            </w:r>
          </w:p>
        </w:tc>
        <w:tc>
          <w:tcPr>
            <w:tcW w:type="dxa" w:w="3456"/>
          </w:tcPr>
          <w:p>
            <w:r/>
            <w:r>
              <w:rPr>
                <w:b w:val="0"/>
                <w:sz w:val="17"/>
              </w:rPr>
              <w:t>Show both values/sources and require human resolution</w:t>
            </w:r>
          </w:p>
        </w:tc>
      </w:tr>
      <w:tr>
        <w:tc>
          <w:tcPr>
            <w:tcW w:type="dxa" w:w="3456"/>
          </w:tcPr>
          <w:p>
            <w:r/>
            <w:r>
              <w:rPr>
                <w:b w:val="0"/>
                <w:sz w:val="17"/>
              </w:rPr>
              <w:t>Unauthorized access</w:t>
            </w:r>
          </w:p>
        </w:tc>
        <w:tc>
          <w:tcPr>
            <w:tcW w:type="dxa" w:w="3456"/>
          </w:tcPr>
          <w:p>
            <w:r/>
            <w:r>
              <w:rPr>
                <w:b w:val="0"/>
                <w:sz w:val="17"/>
              </w:rPr>
              <w:t>Sensitive data exposure</w:t>
            </w:r>
          </w:p>
        </w:tc>
        <w:tc>
          <w:tcPr>
            <w:tcW w:type="dxa" w:w="3456"/>
          </w:tcPr>
          <w:p>
            <w:r/>
            <w:r>
              <w:rPr>
                <w:b w:val="0"/>
                <w:sz w:val="17"/>
              </w:rPr>
              <w:t>RBAC and subsidiary/department filter before retrieval</w:t>
            </w:r>
          </w:p>
        </w:tc>
      </w:tr>
      <w:tr>
        <w:tc>
          <w:tcPr>
            <w:tcW w:type="dxa" w:w="3456"/>
          </w:tcPr>
          <w:p>
            <w:r/>
            <w:r>
              <w:rPr>
                <w:b w:val="0"/>
                <w:sz w:val="17"/>
              </w:rPr>
              <w:t>SAP/ERP integration complexity</w:t>
            </w:r>
          </w:p>
        </w:tc>
        <w:tc>
          <w:tcPr>
            <w:tcW w:type="dxa" w:w="3456"/>
          </w:tcPr>
          <w:p>
            <w:r/>
            <w:r>
              <w:rPr>
                <w:b w:val="0"/>
                <w:sz w:val="17"/>
              </w:rPr>
              <w:t>Delayed production rollout</w:t>
            </w:r>
          </w:p>
        </w:tc>
        <w:tc>
          <w:tcPr>
            <w:tcW w:type="dxa" w:w="3456"/>
          </w:tcPr>
          <w:p>
            <w:r/>
            <w:r>
              <w:rPr>
                <w:b w:val="0"/>
                <w:sz w:val="17"/>
              </w:rPr>
              <w:t>Start with controlled export ingestion; add API integration after approvals</w:t>
            </w:r>
          </w:p>
        </w:tc>
      </w:tr>
      <w:tr>
        <w:tc>
          <w:tcPr>
            <w:tcW w:type="dxa" w:w="3456"/>
          </w:tcPr>
          <w:p>
            <w:r/>
            <w:r>
              <w:rPr>
                <w:b w:val="0"/>
                <w:sz w:val="17"/>
              </w:rPr>
              <w:t>Overly broad SIH scope</w:t>
            </w:r>
          </w:p>
        </w:tc>
        <w:tc>
          <w:tcPr>
            <w:tcW w:type="dxa" w:w="3456"/>
          </w:tcPr>
          <w:p>
            <w:r/>
            <w:r>
              <w:rPr>
                <w:b w:val="0"/>
                <w:sz w:val="17"/>
              </w:rPr>
              <w:t>Incomplete demo</w:t>
            </w:r>
          </w:p>
        </w:tc>
        <w:tc>
          <w:tcPr>
            <w:tcW w:type="dxa" w:w="3456"/>
          </w:tcPr>
          <w:p>
            <w:r/>
            <w:r>
              <w:rPr>
                <w:b w:val="0"/>
                <w:sz w:val="17"/>
              </w:rPr>
              <w:t>Build end-to-end core workflow first</w:t>
            </w:r>
          </w:p>
        </w:tc>
      </w:tr>
      <w:tr>
        <w:tc>
          <w:tcPr>
            <w:tcW w:type="dxa" w:w="3456"/>
          </w:tcPr>
          <w:p>
            <w:r/>
            <w:r>
              <w:rPr>
                <w:b w:val="0"/>
                <w:sz w:val="17"/>
              </w:rPr>
              <w:t>Network/API failure during demo</w:t>
            </w:r>
          </w:p>
        </w:tc>
        <w:tc>
          <w:tcPr>
            <w:tcW w:type="dxa" w:w="3456"/>
          </w:tcPr>
          <w:p>
            <w:r/>
            <w:r>
              <w:rPr>
                <w:b w:val="0"/>
                <w:sz w:val="17"/>
              </w:rPr>
              <w:t>Demo failure</w:t>
            </w:r>
          </w:p>
        </w:tc>
        <w:tc>
          <w:tcPr>
            <w:tcW w:type="dxa" w:w="3456"/>
          </w:tcPr>
          <w:p>
            <w:r/>
            <w:r>
              <w:rPr>
                <w:b w:val="0"/>
                <w:sz w:val="17"/>
              </w:rPr>
              <w:t>Preloaded documents, fallback answers, screenshots and backup recording</w:t>
            </w:r>
          </w:p>
        </w:tc>
      </w:tr>
    </w:tbl>
    <w:p/>
    <w:p>
      <w:pPr>
        <w:pStyle w:val="Heading1"/>
      </w:pPr>
      <w:r>
        <w:t>16. Research-Based Final Conclusions</w:t>
      </w:r>
    </w:p>
    <w:p>
      <w:pPr>
        <w:pStyle w:val="ListNumber"/>
      </w:pPr>
      <w:r>
        <w:t>Geological and mining documents can be digitized, parsed and made searchable using OCR, layout-aware processing and domain NLP.</w:t>
      </w:r>
    </w:p>
    <w:p>
      <w:pPr>
        <w:pStyle w:val="ListNumber"/>
      </w:pPr>
      <w:r>
        <w:t>RAG is feasible for government and parliamentary question answering, including resource-constrained implementations.</w:t>
      </w:r>
    </w:p>
    <w:p>
      <w:pPr>
        <w:pStyle w:val="ListNumber"/>
      </w:pPr>
      <w:r>
        <w:t>OCR quality alone is not sufficient; page-level evidence, confidence scoring, validation and human review are necessary.</w:t>
      </w:r>
    </w:p>
    <w:p>
      <w:pPr>
        <w:pStyle w:val="ListNumber"/>
      </w:pPr>
      <w:r>
        <w:t>NLP/topic analysis is feasible for mining reports and can identify recurring issues from large text corpora.</w:t>
      </w:r>
    </w:p>
    <w:p>
      <w:pPr>
        <w:pStyle w:val="ListNumber"/>
      </w:pPr>
      <w:r>
        <w:t>Coal production/operations platforms and official Ministry AI/ML initiatives support sector-level feasibility.</w:t>
      </w:r>
    </w:p>
    <w:p>
      <w:pPr>
        <w:pStyle w:val="ListNumber"/>
      </w:pPr>
      <w:r>
        <w:t>Existing platforms cover isolated capabilities, but an integrated CMPDI/CIL workflow with evidence, conflict detection, subsidiary access and approval control is a clear product gap.</w:t>
      </w:r>
    </w:p>
    <w:p>
      <w:pPr>
        <w:pStyle w:val="ListNumber"/>
      </w:pPr>
      <w:r>
        <w:t>The most viable approach is not to train a new LLM; it is to combine existing OCR, search, RAG, structured databases and governance workflows into a domain-specific reporting platform.</w:t>
      </w:r>
    </w:p>
    <w:p>
      <w:pPr>
        <w:pStyle w:val="Heading1"/>
      </w:pPr>
      <w:r>
        <w:t>17. Full Reference List</w:t>
      </w:r>
    </w:p>
    <w:tbl>
      <w:tblPr>
        <w:tblStyle w:val="TableGrid"/>
        <w:tblW w:type="auto" w:w="0"/>
        <w:tblLook w:firstColumn="1" w:firstRow="1" w:lastColumn="0" w:lastRow="0" w:noHBand="0" w:noVBand="1" w:val="04A0"/>
      </w:tblPr>
      <w:tblGrid>
        <w:gridCol w:w="5184"/>
        <w:gridCol w:w="5184"/>
      </w:tblGrid>
      <w:tr>
        <w:tc>
          <w:tcPr>
            <w:tcW w:type="dxa" w:w="5184"/>
            <w:shd w:fill="123B5D"/>
          </w:tcPr>
          <w:p>
            <w:r/>
            <w:r>
              <w:rPr>
                <w:b/>
                <w:sz w:val="17"/>
              </w:rPr>
              <w:t>Reference</w:t>
            </w:r>
          </w:p>
        </w:tc>
        <w:tc>
          <w:tcPr>
            <w:tcW w:type="dxa" w:w="5184"/>
            <w:shd w:fill="123B5D"/>
          </w:tcPr>
          <w:p>
            <w:r/>
            <w:r>
              <w:rPr>
                <w:b/>
                <w:sz w:val="17"/>
              </w:rPr>
              <w:t>Link</w:t>
            </w:r>
          </w:p>
        </w:tc>
      </w:tr>
      <w:tr>
        <w:tc>
          <w:tcPr>
            <w:tcW w:type="dxa" w:w="5184"/>
          </w:tcPr>
          <w:p>
            <w:r/>
            <w:r>
              <w:rPr>
                <w:b w:val="0"/>
                <w:sz w:val="17"/>
              </w:rPr>
              <w:t>SIH26023 – AI-Powered Geological, Mining and other Reporting Solution for CMPDI/CIL subsidiaries</w:t>
            </w:r>
          </w:p>
        </w:tc>
        <w:tc>
          <w:tcPr>
            <w:tcW w:type="dxa" w:w="5184"/>
          </w:tcPr>
          <w:p>
            <w:r/>
            <w:r>
              <w:rPr>
                <w:b w:val="0"/>
                <w:sz w:val="17"/>
              </w:rPr>
              <w:t>https://sih2026.vuce.in/en/ps/SIH26023</w:t>
            </w:r>
          </w:p>
        </w:tc>
      </w:tr>
      <w:tr>
        <w:tc>
          <w:tcPr>
            <w:tcW w:type="dxa" w:w="5184"/>
          </w:tcPr>
          <w:p>
            <w:r/>
            <w:r>
              <w:rPr>
                <w:b w:val="0"/>
                <w:sz w:val="17"/>
              </w:rPr>
              <w:t>Ministry of Coal – Official Portal</w:t>
            </w:r>
          </w:p>
        </w:tc>
        <w:tc>
          <w:tcPr>
            <w:tcW w:type="dxa" w:w="5184"/>
          </w:tcPr>
          <w:p>
            <w:r/>
            <w:r>
              <w:rPr>
                <w:b w:val="0"/>
                <w:sz w:val="17"/>
              </w:rPr>
              <w:t>https://coal.gov.in/</w:t>
            </w:r>
          </w:p>
        </w:tc>
      </w:tr>
      <w:tr>
        <w:tc>
          <w:tcPr>
            <w:tcW w:type="dxa" w:w="5184"/>
          </w:tcPr>
          <w:p>
            <w:r/>
            <w:r>
              <w:rPr>
                <w:b w:val="0"/>
                <w:sz w:val="17"/>
              </w:rPr>
              <w:t>Ministry of Coal – Annual Reports</w:t>
            </w:r>
          </w:p>
        </w:tc>
        <w:tc>
          <w:tcPr>
            <w:tcW w:type="dxa" w:w="5184"/>
          </w:tcPr>
          <w:p>
            <w:r/>
            <w:r>
              <w:rPr>
                <w:b w:val="0"/>
                <w:sz w:val="17"/>
              </w:rPr>
              <w:t>https://coal.gov.in/public-information/reports/annual-reports</w:t>
            </w:r>
          </w:p>
        </w:tc>
      </w:tr>
      <w:tr>
        <w:tc>
          <w:tcPr>
            <w:tcW w:type="dxa" w:w="5184"/>
          </w:tcPr>
          <w:p>
            <w:r/>
            <w:r>
              <w:rPr>
                <w:b w:val="0"/>
                <w:sz w:val="17"/>
              </w:rPr>
              <w:t>Ministry of Coal Annual Report 2024–25 AI/ML Extract</w:t>
            </w:r>
          </w:p>
        </w:tc>
        <w:tc>
          <w:tcPr>
            <w:tcW w:type="dxa" w:w="5184"/>
          </w:tcPr>
          <w:p>
            <w:r/>
            <w:r>
              <w:rPr>
                <w:b w:val="0"/>
                <w:sz w:val="17"/>
              </w:rPr>
              <w:t>https://coal.gov.in/sites/default/files/2025-02/chap3AnnualReport2025en2.pdf</w:t>
            </w:r>
          </w:p>
        </w:tc>
      </w:tr>
      <w:tr>
        <w:tc>
          <w:tcPr>
            <w:tcW w:type="dxa" w:w="5184"/>
          </w:tcPr>
          <w:p>
            <w:r/>
            <w:r>
              <w:rPr>
                <w:b w:val="0"/>
                <w:sz w:val="17"/>
              </w:rPr>
              <w:t>Coal India Limited</w:t>
            </w:r>
          </w:p>
        </w:tc>
        <w:tc>
          <w:tcPr>
            <w:tcW w:type="dxa" w:w="5184"/>
          </w:tcPr>
          <w:p>
            <w:r/>
            <w:r>
              <w:rPr>
                <w:b w:val="0"/>
                <w:sz w:val="17"/>
              </w:rPr>
              <w:t>https://www.coalindia.in/</w:t>
            </w:r>
          </w:p>
        </w:tc>
      </w:tr>
      <w:tr>
        <w:tc>
          <w:tcPr>
            <w:tcW w:type="dxa" w:w="5184"/>
          </w:tcPr>
          <w:p>
            <w:r/>
            <w:r>
              <w:rPr>
                <w:b w:val="0"/>
                <w:sz w:val="17"/>
              </w:rPr>
              <w:t>Coal India Annual Reports</w:t>
            </w:r>
          </w:p>
        </w:tc>
        <w:tc>
          <w:tcPr>
            <w:tcW w:type="dxa" w:w="5184"/>
          </w:tcPr>
          <w:p>
            <w:r/>
            <w:r>
              <w:rPr>
                <w:b w:val="0"/>
                <w:sz w:val="17"/>
              </w:rPr>
              <w:t>https://www.coalindia.in/performance/annual-reports/</w:t>
            </w:r>
          </w:p>
        </w:tc>
      </w:tr>
      <w:tr>
        <w:tc>
          <w:tcPr>
            <w:tcW w:type="dxa" w:w="5184"/>
          </w:tcPr>
          <w:p>
            <w:r/>
            <w:r>
              <w:rPr>
                <w:b w:val="0"/>
                <w:sz w:val="17"/>
              </w:rPr>
              <w:t>CMPDI</w:t>
            </w:r>
          </w:p>
        </w:tc>
        <w:tc>
          <w:tcPr>
            <w:tcW w:type="dxa" w:w="5184"/>
          </w:tcPr>
          <w:p>
            <w:r/>
            <w:r>
              <w:rPr>
                <w:b w:val="0"/>
                <w:sz w:val="17"/>
              </w:rPr>
              <w:t>https://www.cmpdi.co.in/</w:t>
            </w:r>
          </w:p>
        </w:tc>
      </w:tr>
      <w:tr>
        <w:tc>
          <w:tcPr>
            <w:tcW w:type="dxa" w:w="5184"/>
          </w:tcPr>
          <w:p>
            <w:r/>
            <w:r>
              <w:rPr>
                <w:b w:val="0"/>
                <w:sz w:val="17"/>
              </w:rPr>
              <w:t>CMPDI Financials and Annual Reports</w:t>
            </w:r>
          </w:p>
        </w:tc>
        <w:tc>
          <w:tcPr>
            <w:tcW w:type="dxa" w:w="5184"/>
          </w:tcPr>
          <w:p>
            <w:r/>
            <w:r>
              <w:rPr>
                <w:b w:val="0"/>
                <w:sz w:val="17"/>
              </w:rPr>
              <w:t>https://www.cmpdi.co.in/en/financials-and-secretarial-matters</w:t>
            </w:r>
          </w:p>
        </w:tc>
      </w:tr>
      <w:tr>
        <w:tc>
          <w:tcPr>
            <w:tcW w:type="dxa" w:w="5184"/>
          </w:tcPr>
          <w:p>
            <w:r/>
            <w:r>
              <w:rPr>
                <w:b w:val="0"/>
                <w:sz w:val="17"/>
              </w:rPr>
              <w:t>Open Government Data Platform India</w:t>
            </w:r>
          </w:p>
        </w:tc>
        <w:tc>
          <w:tcPr>
            <w:tcW w:type="dxa" w:w="5184"/>
          </w:tcPr>
          <w:p>
            <w:r/>
            <w:r>
              <w:rPr>
                <w:b w:val="0"/>
                <w:sz w:val="17"/>
              </w:rPr>
              <w:t>https://www.data.gov.in/</w:t>
            </w:r>
          </w:p>
        </w:tc>
      </w:tr>
      <w:tr>
        <w:tc>
          <w:tcPr>
            <w:tcW w:type="dxa" w:w="5184"/>
          </w:tcPr>
          <w:p>
            <w:r/>
            <w:r>
              <w:rPr>
                <w:b w:val="0"/>
                <w:sz w:val="17"/>
              </w:rPr>
              <w:t>Digital Sansad</w:t>
            </w:r>
          </w:p>
        </w:tc>
        <w:tc>
          <w:tcPr>
            <w:tcW w:type="dxa" w:w="5184"/>
          </w:tcPr>
          <w:p>
            <w:r/>
            <w:r>
              <w:rPr>
                <w:b w:val="0"/>
                <w:sz w:val="17"/>
              </w:rPr>
              <w:t>https://sansad.in/</w:t>
            </w:r>
          </w:p>
        </w:tc>
      </w:tr>
      <w:tr>
        <w:tc>
          <w:tcPr>
            <w:tcW w:type="dxa" w:w="5184"/>
          </w:tcPr>
          <w:p>
            <w:r/>
            <w:r>
              <w:rPr>
                <w:b w:val="0"/>
                <w:sz w:val="17"/>
              </w:rPr>
              <w:t>Advancing Geologic Document Digitalization and Information Retrieval with Generative AI</w:t>
            </w:r>
          </w:p>
        </w:tc>
        <w:tc>
          <w:tcPr>
            <w:tcW w:type="dxa" w:w="5184"/>
          </w:tcPr>
          <w:p>
            <w:r/>
            <w:r>
              <w:rPr>
                <w:b w:val="0"/>
                <w:sz w:val="17"/>
              </w:rPr>
              <w:t>https://www.viridiengroup.com/sites/default/files/2025-02/advancing-geologic-document-digitalization-Information-retrieval-gen-ai-viridien-tle-article-feb-2025.pdf</w:t>
            </w:r>
          </w:p>
        </w:tc>
      </w:tr>
      <w:tr>
        <w:tc>
          <w:tcPr>
            <w:tcW w:type="dxa" w:w="5184"/>
          </w:tcPr>
          <w:p>
            <w:r/>
            <w:r>
              <w:rPr>
                <w:b w:val="0"/>
                <w:sz w:val="17"/>
              </w:rPr>
              <w:t>Semantic Information Extraction and Search of Mineral Exploration Data</w:t>
            </w:r>
          </w:p>
        </w:tc>
        <w:tc>
          <w:tcPr>
            <w:tcW w:type="dxa" w:w="5184"/>
          </w:tcPr>
          <w:p>
            <w:r/>
            <w:r>
              <w:rPr>
                <w:b w:val="0"/>
                <w:sz w:val="17"/>
              </w:rPr>
              <w:t>https://doi.org/10.1016/j.oregeorev.2024.105863</w:t>
            </w:r>
          </w:p>
        </w:tc>
      </w:tr>
      <w:tr>
        <w:tc>
          <w:tcPr>
            <w:tcW w:type="dxa" w:w="5184"/>
          </w:tcPr>
          <w:p>
            <w:r/>
            <w:r>
              <w:rPr>
                <w:b w:val="0"/>
                <w:sz w:val="17"/>
              </w:rPr>
              <w:t>Deep Learning-Based Mineral Exploration Named Entity Recognition</w:t>
            </w:r>
          </w:p>
        </w:tc>
        <w:tc>
          <w:tcPr>
            <w:tcW w:type="dxa" w:w="5184"/>
          </w:tcPr>
          <w:p>
            <w:r/>
            <w:r>
              <w:rPr>
                <w:b w:val="0"/>
                <w:sz w:val="17"/>
              </w:rPr>
              <w:t>https://doi.org/10.1016/j.oregeorev.2024.106367</w:t>
            </w:r>
          </w:p>
        </w:tc>
      </w:tr>
      <w:tr>
        <w:tc>
          <w:tcPr>
            <w:tcW w:type="dxa" w:w="5184"/>
          </w:tcPr>
          <w:p>
            <w:r/>
            <w:r>
              <w:rPr>
                <w:b w:val="0"/>
                <w:sz w:val="17"/>
              </w:rPr>
              <w:t>OCR Hinders RAG</w:t>
            </w:r>
          </w:p>
        </w:tc>
        <w:tc>
          <w:tcPr>
            <w:tcW w:type="dxa" w:w="5184"/>
          </w:tcPr>
          <w:p>
            <w:r/>
            <w:r>
              <w:rPr>
                <w:b w:val="0"/>
                <w:sz w:val="17"/>
              </w:rPr>
              <w:t>https://openaccess.thecvf.com/content/ICCV2025/papers/Zhang_OCR_Hinders_RAG_Evaluating_the_Cascading_Impact_of_OCR_on_ICCV_2025_paper.pdf</w:t>
            </w:r>
          </w:p>
        </w:tc>
      </w:tr>
      <w:tr>
        <w:tc>
          <w:tcPr>
            <w:tcW w:type="dxa" w:w="5184"/>
          </w:tcPr>
          <w:p>
            <w:r/>
            <w:r>
              <w:rPr>
                <w:b w:val="0"/>
                <w:sz w:val="17"/>
              </w:rPr>
              <w:t>When Good OCR Is Not Enough</w:t>
            </w:r>
          </w:p>
        </w:tc>
        <w:tc>
          <w:tcPr>
            <w:tcW w:type="dxa" w:w="5184"/>
          </w:tcPr>
          <w:p>
            <w:r/>
            <w:r>
              <w:rPr>
                <w:b w:val="0"/>
                <w:sz w:val="17"/>
              </w:rPr>
              <w:t>https://aclanthology.org/2026.acl-industry.60/</w:t>
            </w:r>
          </w:p>
        </w:tc>
      </w:tr>
      <w:tr>
        <w:tc>
          <w:tcPr>
            <w:tcW w:type="dxa" w:w="5184"/>
          </w:tcPr>
          <w:p>
            <w:r/>
            <w:r>
              <w:rPr>
                <w:b w:val="0"/>
                <w:sz w:val="17"/>
              </w:rPr>
              <w:t>StruNRAG</w:t>
            </w:r>
          </w:p>
        </w:tc>
        <w:tc>
          <w:tcPr>
            <w:tcW w:type="dxa" w:w="5184"/>
          </w:tcPr>
          <w:p>
            <w:r/>
            <w:r>
              <w:rPr>
                <w:b w:val="0"/>
                <w:sz w:val="17"/>
              </w:rPr>
              <w:t>https://aclanthology.org/2026.findings-acl.955.pdf</w:t>
            </w:r>
          </w:p>
        </w:tc>
      </w:tr>
      <w:tr>
        <w:tc>
          <w:tcPr>
            <w:tcW w:type="dxa" w:w="5184"/>
          </w:tcPr>
          <w:p>
            <w:r/>
            <w:r>
              <w:rPr>
                <w:b w:val="0"/>
                <w:sz w:val="17"/>
              </w:rPr>
              <w:t>Document Segmentation Matters for RAG</w:t>
            </w:r>
          </w:p>
        </w:tc>
        <w:tc>
          <w:tcPr>
            <w:tcW w:type="dxa" w:w="5184"/>
          </w:tcPr>
          <w:p>
            <w:r/>
            <w:r>
              <w:rPr>
                <w:b w:val="0"/>
                <w:sz w:val="17"/>
              </w:rPr>
              <w:t>https://aclanthology.org/2025.findings-acl.422/</w:t>
            </w:r>
          </w:p>
        </w:tc>
      </w:tr>
      <w:tr>
        <w:tc>
          <w:tcPr>
            <w:tcW w:type="dxa" w:w="5184"/>
          </w:tcPr>
          <w:p>
            <w:r/>
            <w:r>
              <w:rPr>
                <w:b w:val="0"/>
                <w:sz w:val="17"/>
              </w:rPr>
              <w:t>Lightweight RAG for CPU-only Environments</w:t>
            </w:r>
          </w:p>
        </w:tc>
        <w:tc>
          <w:tcPr>
            <w:tcW w:type="dxa" w:w="5184"/>
          </w:tcPr>
          <w:p>
            <w:r/>
            <w:r>
              <w:rPr>
                <w:b w:val="0"/>
                <w:sz w:val="17"/>
              </w:rPr>
              <w:t>https://ijsret.com/wp-content/uploads/IJSRET_V12_issue2_458.pdf</w:t>
            </w:r>
          </w:p>
        </w:tc>
      </w:tr>
      <w:tr>
        <w:tc>
          <w:tcPr>
            <w:tcW w:type="dxa" w:w="5184"/>
          </w:tcPr>
          <w:p>
            <w:r/>
            <w:r>
              <w:rPr>
                <w:b w:val="0"/>
                <w:sz w:val="17"/>
              </w:rPr>
              <w:t>Resource-efficient RAG for Indian Lok Sabha Dataset</w:t>
            </w:r>
          </w:p>
        </w:tc>
        <w:tc>
          <w:tcPr>
            <w:tcW w:type="dxa" w:w="5184"/>
          </w:tcPr>
          <w:p>
            <w:r/>
            <w:r>
              <w:rPr>
                <w:b w:val="0"/>
                <w:sz w:val="17"/>
              </w:rPr>
              <w:t>https://www.frontiersin.org/journals/artificial-intelligence/articles/10.3389/frai.2026.1798021/full</w:t>
            </w:r>
          </w:p>
        </w:tc>
      </w:tr>
      <w:tr>
        <w:tc>
          <w:tcPr>
            <w:tcW w:type="dxa" w:w="5184"/>
          </w:tcPr>
          <w:p>
            <w:r/>
            <w:r>
              <w:rPr>
                <w:b w:val="0"/>
                <w:sz w:val="17"/>
              </w:rPr>
              <w:t>Gov-RAG</w:t>
            </w:r>
          </w:p>
        </w:tc>
        <w:tc>
          <w:tcPr>
            <w:tcW w:type="dxa" w:w="5184"/>
          </w:tcPr>
          <w:p>
            <w:r/>
            <w:r>
              <w:rPr>
                <w:b w:val="0"/>
                <w:sz w:val="17"/>
              </w:rPr>
              <w:t>https://papers.ssrn.com/sol3/papers.cfm?abstract_id=5111865</w:t>
            </w:r>
          </w:p>
        </w:tc>
      </w:tr>
      <w:tr>
        <w:tc>
          <w:tcPr>
            <w:tcW w:type="dxa" w:w="5184"/>
          </w:tcPr>
          <w:p>
            <w:r/>
            <w:r>
              <w:rPr>
                <w:b w:val="0"/>
                <w:sz w:val="17"/>
              </w:rPr>
              <w:t>PolicyBot</w:t>
            </w:r>
          </w:p>
        </w:tc>
        <w:tc>
          <w:tcPr>
            <w:tcW w:type="dxa" w:w="5184"/>
          </w:tcPr>
          <w:p>
            <w:r/>
            <w:r>
              <w:rPr>
                <w:b w:val="0"/>
                <w:sz w:val="17"/>
              </w:rPr>
              <w:t>https://arxiv.org/abs/2511.13489</w:t>
            </w:r>
          </w:p>
        </w:tc>
      </w:tr>
      <w:tr>
        <w:tc>
          <w:tcPr>
            <w:tcW w:type="dxa" w:w="5184"/>
          </w:tcPr>
          <w:p>
            <w:r/>
            <w:r>
              <w:rPr>
                <w:b w:val="0"/>
                <w:sz w:val="17"/>
              </w:rPr>
              <w:t>IR 4.0 in Parliament</w:t>
            </w:r>
          </w:p>
        </w:tc>
        <w:tc>
          <w:tcPr>
            <w:tcW w:type="dxa" w:w="5184"/>
          </w:tcPr>
          <w:p>
            <w:r/>
            <w:r>
              <w:rPr>
                <w:b w:val="0"/>
                <w:sz w:val="17"/>
              </w:rPr>
              <w:t>https://gaexcellence.com/ijlgc/article/view/2080</w:t>
            </w:r>
          </w:p>
        </w:tc>
      </w:tr>
      <w:tr>
        <w:tc>
          <w:tcPr>
            <w:tcW w:type="dxa" w:w="5184"/>
          </w:tcPr>
          <w:p>
            <w:r/>
            <w:r>
              <w:rPr>
                <w:b w:val="0"/>
                <w:sz w:val="17"/>
              </w:rPr>
              <w:t>Mining Accident Reports NLP/ML</w:t>
            </w:r>
          </w:p>
        </w:tc>
        <w:tc>
          <w:tcPr>
            <w:tcW w:type="dxa" w:w="5184"/>
          </w:tcPr>
          <w:p>
            <w:r/>
            <w:r>
              <w:rPr>
                <w:b w:val="0"/>
                <w:sz w:val="17"/>
              </w:rPr>
              <w:t>https://link.springer.com/article/10.1007/s40789-025-00822-0</w:t>
            </w:r>
          </w:p>
        </w:tc>
      </w:tr>
      <w:tr>
        <w:tc>
          <w:tcPr>
            <w:tcW w:type="dxa" w:w="5184"/>
          </w:tcPr>
          <w:p>
            <w:r/>
            <w:r>
              <w:rPr>
                <w:b w:val="0"/>
                <w:sz w:val="17"/>
              </w:rPr>
              <w:t>Intelligent Methods for Coal Mine Accident Cause Analysis</w:t>
            </w:r>
          </w:p>
        </w:tc>
        <w:tc>
          <w:tcPr>
            <w:tcW w:type="dxa" w:w="5184"/>
          </w:tcPr>
          <w:p>
            <w:r/>
            <w:r>
              <w:rPr>
                <w:b w:val="0"/>
                <w:sz w:val="17"/>
              </w:rPr>
              <w:t>https://www.sciopen.com/article/10.16511/j.cnki.qhdxxb.2025.26.006</w:t>
            </w:r>
          </w:p>
        </w:tc>
      </w:tr>
      <w:tr>
        <w:tc>
          <w:tcPr>
            <w:tcW w:type="dxa" w:w="5184"/>
          </w:tcPr>
          <w:p>
            <w:r/>
            <w:r>
              <w:rPr>
                <w:b w:val="0"/>
                <w:sz w:val="17"/>
              </w:rPr>
              <w:t>Large AI Models for Coal Mining</w:t>
            </w:r>
          </w:p>
        </w:tc>
        <w:tc>
          <w:tcPr>
            <w:tcW w:type="dxa" w:w="5184"/>
          </w:tcPr>
          <w:p>
            <w:r/>
            <w:r>
              <w:rPr>
                <w:b w:val="0"/>
                <w:sz w:val="17"/>
              </w:rPr>
              <w:t>https://link.springer.com/article/10.1007/s12613-026-3492-8</w:t>
            </w:r>
          </w:p>
        </w:tc>
      </w:tr>
      <w:tr>
        <w:tc>
          <w:tcPr>
            <w:tcW w:type="dxa" w:w="5184"/>
          </w:tcPr>
          <w:p>
            <w:r/>
            <w:r>
              <w:rPr>
                <w:b w:val="0"/>
                <w:sz w:val="17"/>
              </w:rPr>
              <w:t>AI/ML in Coal Mining Industry</w:t>
            </w:r>
          </w:p>
        </w:tc>
        <w:tc>
          <w:tcPr>
            <w:tcW w:type="dxa" w:w="5184"/>
          </w:tcPr>
          <w:p>
            <w:r/>
            <w:r>
              <w:rPr>
                <w:b w:val="0"/>
                <w:sz w:val="17"/>
              </w:rPr>
              <w:t>https://pubs.aip.org/aip/acp/article-pdf/doi/10.1063/5.0240351/20291109/040002_1_5.0240351.pdf</w:t>
            </w:r>
          </w:p>
        </w:tc>
      </w:tr>
      <w:tr>
        <w:tc>
          <w:tcPr>
            <w:tcW w:type="dxa" w:w="5184"/>
          </w:tcPr>
          <w:p>
            <w:r/>
            <w:r>
              <w:rPr>
                <w:b w:val="0"/>
                <w:sz w:val="17"/>
              </w:rPr>
              <w:t>Intelligent Coal Production and Operation Management Platform</w:t>
            </w:r>
          </w:p>
        </w:tc>
        <w:tc>
          <w:tcPr>
            <w:tcW w:type="dxa" w:w="5184"/>
          </w:tcPr>
          <w:p>
            <w:r/>
            <w:r>
              <w:rPr>
                <w:b w:val="0"/>
                <w:sz w:val="17"/>
              </w:rPr>
              <w:t>https://www.mdpi.com/1996-1073/17/20/5205</w:t>
            </w:r>
          </w:p>
        </w:tc>
      </w:tr>
      <w:tr>
        <w:tc>
          <w:tcPr>
            <w:tcW w:type="dxa" w:w="5184"/>
          </w:tcPr>
          <w:p>
            <w:r/>
            <w:r>
              <w:rPr>
                <w:b w:val="0"/>
                <w:sz w:val="17"/>
              </w:rPr>
              <w:t>AI in Mining Industry Review</w:t>
            </w:r>
          </w:p>
        </w:tc>
        <w:tc>
          <w:tcPr>
            <w:tcW w:type="dxa" w:w="5184"/>
          </w:tcPr>
          <w:p>
            <w:r/>
            <w:r>
              <w:rPr>
                <w:b w:val="0"/>
                <w:sz w:val="17"/>
              </w:rPr>
              <w:t>https://www.sciencedirect.com/science/article/pii/S2214790X24000388</w:t>
            </w:r>
          </w:p>
        </w:tc>
      </w:tr>
      <w:tr>
        <w:tc>
          <w:tcPr>
            <w:tcW w:type="dxa" w:w="5184"/>
          </w:tcPr>
          <w:p>
            <w:r/>
            <w:r>
              <w:rPr>
                <w:b w:val="0"/>
                <w:sz w:val="17"/>
              </w:rPr>
              <w:t>MoSPI</w:t>
            </w:r>
          </w:p>
        </w:tc>
        <w:tc>
          <w:tcPr>
            <w:tcW w:type="dxa" w:w="5184"/>
          </w:tcPr>
          <w:p>
            <w:r/>
            <w:r>
              <w:rPr>
                <w:b w:val="0"/>
                <w:sz w:val="17"/>
              </w:rPr>
              <w:t>https://www.mospi.gov.in/</w:t>
            </w:r>
          </w:p>
        </w:tc>
      </w:tr>
      <w:tr>
        <w:tc>
          <w:tcPr>
            <w:tcW w:type="dxa" w:w="5184"/>
          </w:tcPr>
          <w:p>
            <w:r/>
            <w:r>
              <w:rPr>
                <w:b w:val="0"/>
                <w:sz w:val="17"/>
              </w:rPr>
              <w:t>Granthik</w:t>
            </w:r>
          </w:p>
        </w:tc>
        <w:tc>
          <w:tcPr>
            <w:tcW w:type="dxa" w:w="5184"/>
          </w:tcPr>
          <w:p>
            <w:r/>
            <w:r>
              <w:rPr>
                <w:b w:val="0"/>
                <w:sz w:val="17"/>
              </w:rPr>
              <w:t>https://app.setidure.com/products/granthik</w:t>
            </w:r>
          </w:p>
        </w:tc>
      </w:tr>
      <w:tr>
        <w:tc>
          <w:tcPr>
            <w:tcW w:type="dxa" w:w="5184"/>
          </w:tcPr>
          <w:p>
            <w:r/>
            <w:r>
              <w:rPr>
                <w:b w:val="0"/>
                <w:sz w:val="17"/>
              </w:rPr>
              <w:t>ShareDocs Government</w:t>
            </w:r>
          </w:p>
        </w:tc>
        <w:tc>
          <w:tcPr>
            <w:tcW w:type="dxa" w:w="5184"/>
          </w:tcPr>
          <w:p>
            <w:r/>
            <w:r>
              <w:rPr>
                <w:b w:val="0"/>
                <w:sz w:val="17"/>
              </w:rPr>
              <w:t>https://sharedocsdms.com/solution/government</w:t>
            </w:r>
          </w:p>
        </w:tc>
      </w:tr>
      <w:tr>
        <w:tc>
          <w:tcPr>
            <w:tcW w:type="dxa" w:w="5184"/>
          </w:tcPr>
          <w:p>
            <w:r/>
            <w:r>
              <w:rPr>
                <w:b w:val="0"/>
                <w:sz w:val="17"/>
              </w:rPr>
              <w:t>Terra AI Minerals</w:t>
            </w:r>
          </w:p>
        </w:tc>
        <w:tc>
          <w:tcPr>
            <w:tcW w:type="dxa" w:w="5184"/>
          </w:tcPr>
          <w:p>
            <w:r/>
            <w:r>
              <w:rPr>
                <w:b w:val="0"/>
                <w:sz w:val="17"/>
              </w:rPr>
              <w:t>https://www.terraai.com/minerals</w:t>
            </w:r>
          </w:p>
        </w:tc>
      </w:tr>
      <w:tr>
        <w:tc>
          <w:tcPr>
            <w:tcW w:type="dxa" w:w="5184"/>
          </w:tcPr>
          <w:p>
            <w:r/>
            <w:r>
              <w:rPr>
                <w:b w:val="0"/>
                <w:sz w:val="17"/>
              </w:rPr>
              <w:t>Trimble Mine Insights</w:t>
            </w:r>
          </w:p>
        </w:tc>
        <w:tc>
          <w:tcPr>
            <w:tcW w:type="dxa" w:w="5184"/>
          </w:tcPr>
          <w:p>
            <w:r/>
            <w:r>
              <w:rPr>
                <w:b w:val="0"/>
                <w:sz w:val="17"/>
              </w:rPr>
              <w:t>https://geospatial.trimble.com/en/products/software/trimble-mine-insights</w:t>
            </w:r>
          </w:p>
        </w:tc>
      </w:tr>
      <w:tr>
        <w:tc>
          <w:tcPr>
            <w:tcW w:type="dxa" w:w="5184"/>
          </w:tcPr>
          <w:p>
            <w:r/>
            <w:r>
              <w:rPr>
                <w:b w:val="0"/>
                <w:sz w:val="17"/>
              </w:rPr>
              <w:t>Tagore AI</w:t>
            </w:r>
          </w:p>
        </w:tc>
        <w:tc>
          <w:tcPr>
            <w:tcW w:type="dxa" w:w="5184"/>
          </w:tcPr>
          <w:p>
            <w:r/>
            <w:r>
              <w:rPr>
                <w:b w:val="0"/>
                <w:sz w:val="17"/>
              </w:rPr>
              <w:t>https://tagore.ai/</w:t>
            </w:r>
          </w:p>
        </w:tc>
      </w:tr>
      <w:tr>
        <w:tc>
          <w:tcPr>
            <w:tcW w:type="dxa" w:w="5184"/>
          </w:tcPr>
          <w:p>
            <w:r/>
            <w:r>
              <w:rPr>
                <w:b w:val="0"/>
                <w:sz w:val="17"/>
              </w:rPr>
              <w:t>MongoDB Vector Search</w:t>
            </w:r>
          </w:p>
        </w:tc>
        <w:tc>
          <w:tcPr>
            <w:tcW w:type="dxa" w:w="5184"/>
          </w:tcPr>
          <w:p>
            <w:r/>
            <w:r>
              <w:rPr>
                <w:b w:val="0"/>
                <w:sz w:val="17"/>
              </w:rPr>
              <w:t>https://www.mongodb.com/docs/vector-search/</w:t>
            </w:r>
          </w:p>
        </w:tc>
      </w:tr>
      <w:tr>
        <w:tc>
          <w:tcPr>
            <w:tcW w:type="dxa" w:w="5184"/>
          </w:tcPr>
          <w:p>
            <w:r/>
            <w:r>
              <w:rPr>
                <w:b w:val="0"/>
                <w:sz w:val="17"/>
              </w:rPr>
              <w:t>MongoDB Hybrid Search</w:t>
            </w:r>
          </w:p>
        </w:tc>
        <w:tc>
          <w:tcPr>
            <w:tcW w:type="dxa" w:w="5184"/>
          </w:tcPr>
          <w:p>
            <w:r/>
            <w:r>
              <w:rPr>
                <w:b w:val="0"/>
                <w:sz w:val="17"/>
              </w:rPr>
              <w:t>https://www.mongodb.com/docs/vector-search/hybrid-search/hybrid-search-overview/</w:t>
            </w:r>
          </w:p>
        </w:tc>
      </w:tr>
      <w:tr>
        <w:tc>
          <w:tcPr>
            <w:tcW w:type="dxa" w:w="5184"/>
          </w:tcPr>
          <w:p>
            <w:r/>
            <w:r>
              <w:rPr>
                <w:b w:val="0"/>
                <w:sz w:val="17"/>
              </w:rPr>
              <w:t>scikit-learn TF-IDF</w:t>
            </w:r>
          </w:p>
        </w:tc>
        <w:tc>
          <w:tcPr>
            <w:tcW w:type="dxa" w:w="5184"/>
          </w:tcPr>
          <w:p>
            <w:r/>
            <w:r>
              <w:rPr>
                <w:b w:val="0"/>
                <w:sz w:val="17"/>
              </w:rPr>
              <w:t>https://scikit-learn.org/stable/modules/generated/sklearn.feature_extraction.text.TfidfVectorizer.html</w:t>
            </w:r>
          </w:p>
        </w:tc>
      </w:tr>
      <w:tr>
        <w:tc>
          <w:tcPr>
            <w:tcW w:type="dxa" w:w="5184"/>
          </w:tcPr>
          <w:p>
            <w:r/>
            <w:r>
              <w:rPr>
                <w:b w:val="0"/>
                <w:sz w:val="17"/>
              </w:rPr>
              <w:t>FastAPI Background Tasks</w:t>
            </w:r>
          </w:p>
        </w:tc>
        <w:tc>
          <w:tcPr>
            <w:tcW w:type="dxa" w:w="5184"/>
          </w:tcPr>
          <w:p>
            <w:r/>
            <w:r>
              <w:rPr>
                <w:b w:val="0"/>
                <w:sz w:val="17"/>
              </w:rPr>
              <w:t>https://fastapi.tiangolo.com/tutorial/background-tasks/</w:t>
            </w:r>
          </w:p>
        </w:tc>
      </w:tr>
      <w:tr>
        <w:tc>
          <w:tcPr>
            <w:tcW w:type="dxa" w:w="5184"/>
          </w:tcPr>
          <w:p>
            <w:r/>
            <w:r>
              <w:rPr>
                <w:b w:val="0"/>
                <w:sz w:val="17"/>
              </w:rPr>
              <w:t>CERT-In Directions</w:t>
            </w:r>
          </w:p>
        </w:tc>
        <w:tc>
          <w:tcPr>
            <w:tcW w:type="dxa" w:w="5184"/>
          </w:tcPr>
          <w:p>
            <w:r/>
            <w:r>
              <w:rPr>
                <w:b w:val="0"/>
                <w:sz w:val="17"/>
              </w:rPr>
              <w:t>https://www.cert-in.org.in/Directions70B.jsp</w:t>
            </w:r>
          </w:p>
        </w:tc>
      </w:tr>
      <w:tr>
        <w:tc>
          <w:tcPr>
            <w:tcW w:type="dxa" w:w="5184"/>
          </w:tcPr>
          <w:p>
            <w:r/>
            <w:r>
              <w:rPr>
                <w:b w:val="0"/>
                <w:sz w:val="17"/>
              </w:rPr>
              <w:t>NIC eOffice</w:t>
            </w:r>
          </w:p>
        </w:tc>
        <w:tc>
          <w:tcPr>
            <w:tcW w:type="dxa" w:w="5184"/>
          </w:tcPr>
          <w:p>
            <w:r/>
            <w:r>
              <w:rPr>
                <w:b w:val="0"/>
                <w:sz w:val="17"/>
              </w:rPr>
              <w:t>https://www.nic.gov.in/project/eoffice/</w:t>
            </w:r>
          </w:p>
        </w:tc>
      </w:tr>
      <w:tr>
        <w:tc>
          <w:tcPr>
            <w:tcW w:type="dxa" w:w="5184"/>
          </w:tcPr>
          <w:p>
            <w:r/>
            <w:r>
              <w:rPr>
                <w:b w:val="0"/>
                <w:sz w:val="17"/>
              </w:rPr>
              <w:t>BERTopic</w:t>
            </w:r>
          </w:p>
        </w:tc>
        <w:tc>
          <w:tcPr>
            <w:tcW w:type="dxa" w:w="5184"/>
          </w:tcPr>
          <w:p>
            <w:r/>
            <w:r>
              <w:rPr>
                <w:b w:val="0"/>
                <w:sz w:val="17"/>
              </w:rPr>
              <w:t>https://bertopic.com/</w:t>
            </w:r>
          </w:p>
        </w:tc>
      </w:tr>
    </w:tbl>
    <w:p/>
    <w:p>
      <w:pPr>
        <w:pStyle w:val="Heading1"/>
      </w:pPr>
      <w:r>
        <w:t>18. Final Team Narrative</w:t>
      </w:r>
    </w:p>
    <w:p>
      <w:r>
        <w:t>GEOVANI does not claim to replace SAP/ERP, mining engineers, geologists or approving officers. It is a secure intelligence and reporting layer. SAP/ERP-style sources provide structured operational data; historical documents provide technical and administrative evidence; the platform combines them into validated, traceable and approval-ready outputs. Its value comes from reducing document-search and repetitive reporting effort while retaining source proof and human accountability.</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GEOVANI | Research Evidence &amp; Case Study Report | SIH26023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