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GEOVANI DEMO — MINING OPERATIONS &amp; GEOLOGICAL REPORT</w:t>
      </w:r>
    </w:p>
    <w:p>
      <w:r>
        <w:t>SYNTHETIC DEMONSTRATION DATA — Not an actual CMPDI/CIL or mine record.</w:t>
      </w:r>
    </w:p>
    <w:p>
      <w:pPr>
        <w:pStyle w:val="Heading1"/>
      </w:pPr>
      <w:r>
        <w:t>Document Metadata</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Mine</w:t>
            </w:r>
          </w:p>
        </w:tc>
        <w:tc>
          <w:tcPr>
            <w:tcW w:type="dxa" w:w="4320"/>
          </w:tcPr>
          <w:p>
            <w:r>
              <w:t>Demo Central Mine</w:t>
            </w:r>
          </w:p>
        </w:tc>
      </w:tr>
      <w:tr>
        <w:tc>
          <w:tcPr>
            <w:tcW w:type="dxa" w:w="4320"/>
          </w:tcPr>
          <w:p>
            <w:r>
              <w:t>Subsidiary</w:t>
            </w:r>
          </w:p>
        </w:tc>
        <w:tc>
          <w:tcPr>
            <w:tcW w:type="dxa" w:w="4320"/>
          </w:tcPr>
          <w:p>
            <w:r>
              <w:t>Demo Coal Subsidiary</w:t>
            </w:r>
          </w:p>
        </w:tc>
      </w:tr>
      <w:tr>
        <w:tc>
          <w:tcPr>
            <w:tcW w:type="dxa" w:w="4320"/>
          </w:tcPr>
          <w:p>
            <w:r>
              <w:t>Reporting Year</w:t>
            </w:r>
          </w:p>
        </w:tc>
        <w:tc>
          <w:tcPr>
            <w:tcW w:type="dxa" w:w="4320"/>
          </w:tcPr>
          <w:p>
            <w:r>
              <w:t>2025</w:t>
            </w:r>
          </w:p>
        </w:tc>
      </w:tr>
      <w:tr>
        <w:tc>
          <w:tcPr>
            <w:tcW w:type="dxa" w:w="4320"/>
          </w:tcPr>
          <w:p>
            <w:r>
              <w:t>Document Type</w:t>
            </w:r>
          </w:p>
        </w:tc>
        <w:tc>
          <w:tcPr>
            <w:tcW w:type="dxa" w:w="4320"/>
          </w:tcPr>
          <w:p>
            <w:r>
              <w:t>Mining Operations &amp; Geological Summary</w:t>
            </w:r>
          </w:p>
        </w:tc>
      </w:tr>
      <w:tr>
        <w:tc>
          <w:tcPr>
            <w:tcW w:type="dxa" w:w="4320"/>
          </w:tcPr>
          <w:p>
            <w:r>
              <w:t>Reference ID</w:t>
            </w:r>
          </w:p>
        </w:tc>
        <w:tc>
          <w:tcPr>
            <w:tcW w:type="dxa" w:w="4320"/>
          </w:tcPr>
          <w:p>
            <w:r>
              <w:t>GEOVANI-DEMO-001</w:t>
            </w:r>
          </w:p>
        </w:tc>
      </w:tr>
    </w:tbl>
    <w:p>
      <w:pPr>
        <w:pStyle w:val="Heading1"/>
      </w:pPr>
      <w:r>
        <w:t>Executive Summary</w:t>
      </w:r>
    </w:p>
    <w:p>
      <w:r>
        <w:t>This synthetic report demonstrates how GEOVANI can process mining, geological and operational information. The demonstration dataset focuses on production, ventilation, equipment availability and geological observations.</w:t>
      </w:r>
    </w:p>
    <w:p>
      <w:pPr>
        <w:pStyle w:val="Heading1"/>
      </w:pPr>
      <w:r>
        <w:t>Production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Month</w:t>
            </w:r>
          </w:p>
        </w:tc>
        <w:tc>
          <w:tcPr>
            <w:tcW w:type="dxa" w:w="2160"/>
          </w:tcPr>
          <w:p>
            <w:r>
              <w:t>Planned (kt)</w:t>
            </w:r>
          </w:p>
        </w:tc>
        <w:tc>
          <w:tcPr>
            <w:tcW w:type="dxa" w:w="2160"/>
          </w:tcPr>
          <w:p>
            <w:r>
              <w:t>Actual (kt)</w:t>
            </w:r>
          </w:p>
        </w:tc>
        <w:tc>
          <w:tcPr>
            <w:tcW w:type="dxa" w:w="2160"/>
          </w:tcPr>
          <w:p>
            <w:r>
              <w:t>Achievement</w:t>
            </w:r>
          </w:p>
        </w:tc>
      </w:tr>
      <w:tr>
        <w:tc>
          <w:tcPr>
            <w:tcW w:type="dxa" w:w="2160"/>
          </w:tcPr>
          <w:p>
            <w:r>
              <w:t>April</w:t>
            </w:r>
          </w:p>
        </w:tc>
        <w:tc>
          <w:tcPr>
            <w:tcW w:type="dxa" w:w="2160"/>
          </w:tcPr>
          <w:p>
            <w:r>
              <w:t>210</w:t>
            </w:r>
          </w:p>
        </w:tc>
        <w:tc>
          <w:tcPr>
            <w:tcW w:type="dxa" w:w="2160"/>
          </w:tcPr>
          <w:p>
            <w:r>
              <w:t>198</w:t>
            </w:r>
          </w:p>
        </w:tc>
        <w:tc>
          <w:tcPr>
            <w:tcW w:type="dxa" w:w="2160"/>
          </w:tcPr>
          <w:p>
            <w:r>
              <w:t>94.3%</w:t>
            </w:r>
          </w:p>
        </w:tc>
      </w:tr>
      <w:tr>
        <w:tc>
          <w:tcPr>
            <w:tcW w:type="dxa" w:w="2160"/>
          </w:tcPr>
          <w:p>
            <w:r>
              <w:t>May</w:t>
            </w:r>
          </w:p>
        </w:tc>
        <w:tc>
          <w:tcPr>
            <w:tcW w:type="dxa" w:w="2160"/>
          </w:tcPr>
          <w:p>
            <w:r>
              <w:t>220</w:t>
            </w:r>
          </w:p>
        </w:tc>
        <w:tc>
          <w:tcPr>
            <w:tcW w:type="dxa" w:w="2160"/>
          </w:tcPr>
          <w:p>
            <w:r>
              <w:t>216</w:t>
            </w:r>
          </w:p>
        </w:tc>
        <w:tc>
          <w:tcPr>
            <w:tcW w:type="dxa" w:w="2160"/>
          </w:tcPr>
          <w:p>
            <w:r>
              <w:t>98.2%</w:t>
            </w:r>
          </w:p>
        </w:tc>
      </w:tr>
      <w:tr>
        <w:tc>
          <w:tcPr>
            <w:tcW w:type="dxa" w:w="2160"/>
          </w:tcPr>
          <w:p>
            <w:r>
              <w:t>June</w:t>
            </w:r>
          </w:p>
        </w:tc>
        <w:tc>
          <w:tcPr>
            <w:tcW w:type="dxa" w:w="2160"/>
          </w:tcPr>
          <w:p>
            <w:r>
              <w:t>225</w:t>
            </w:r>
          </w:p>
        </w:tc>
        <w:tc>
          <w:tcPr>
            <w:tcW w:type="dxa" w:w="2160"/>
          </w:tcPr>
          <w:p>
            <w:r>
              <w:t>221</w:t>
            </w:r>
          </w:p>
        </w:tc>
        <w:tc>
          <w:tcPr>
            <w:tcW w:type="dxa" w:w="2160"/>
          </w:tcPr>
          <w:p>
            <w:r>
              <w:t>98.2%</w:t>
            </w:r>
          </w:p>
        </w:tc>
      </w:tr>
      <w:tr>
        <w:tc>
          <w:tcPr>
            <w:tcW w:type="dxa" w:w="2160"/>
          </w:tcPr>
          <w:p>
            <w:r>
              <w:t>July</w:t>
            </w:r>
          </w:p>
        </w:tc>
        <w:tc>
          <w:tcPr>
            <w:tcW w:type="dxa" w:w="2160"/>
          </w:tcPr>
          <w:p>
            <w:r>
              <w:t>230</w:t>
            </w:r>
          </w:p>
        </w:tc>
        <w:tc>
          <w:tcPr>
            <w:tcW w:type="dxa" w:w="2160"/>
          </w:tcPr>
          <w:p>
            <w:r>
              <w:t>226</w:t>
            </w:r>
          </w:p>
        </w:tc>
        <w:tc>
          <w:tcPr>
            <w:tcW w:type="dxa" w:w="2160"/>
          </w:tcPr>
          <w:p>
            <w:r>
              <w:t>98.3%</w:t>
            </w:r>
          </w:p>
        </w:tc>
      </w:tr>
    </w:tbl>
    <w:p>
      <w:pPr>
        <w:pStyle w:val="Heading1"/>
      </w:pPr>
      <w:r>
        <w:t>Geological Observations</w:t>
      </w:r>
    </w:p>
    <w:p>
      <w:r>
        <w:t>The demonstration geological review identifies a laterally persistent coal seam with local thickness variation. Roof and floor conditions are described as moderately variable across the demonstration panels. Further drilling and geotechnical validation would be required before using these observations for actual mine planning.</w:t>
      </w:r>
    </w:p>
    <w:p>
      <w:pPr>
        <w:pStyle w:val="Heading1"/>
      </w:pPr>
      <w:r>
        <w:t>Equipment Availability</w:t>
      </w:r>
    </w:p>
    <w:tbl>
      <w:tblPr>
        <w:tblStyle w:val="TableGrid"/>
        <w:tblW w:type="auto" w:w="0"/>
        <w:tblLook w:firstColumn="1" w:firstRow="1" w:lastColumn="0" w:lastRow="0" w:noHBand="0" w:noVBand="1" w:val="04A0"/>
      </w:tblPr>
      <w:tblGrid>
        <w:gridCol w:w="2880"/>
        <w:gridCol w:w="2880"/>
        <w:gridCol w:w="2880"/>
      </w:tblGrid>
      <w:tr>
        <w:tc>
          <w:tcPr>
            <w:tcW w:type="dxa" w:w="2880"/>
          </w:tcPr>
          <w:p>
            <w:r>
              <w:t>Equipment</w:t>
            </w:r>
          </w:p>
        </w:tc>
        <w:tc>
          <w:tcPr>
            <w:tcW w:type="dxa" w:w="2880"/>
          </w:tcPr>
          <w:p>
            <w:r>
              <w:t>Units</w:t>
            </w:r>
          </w:p>
        </w:tc>
        <w:tc>
          <w:tcPr>
            <w:tcW w:type="dxa" w:w="2880"/>
          </w:tcPr>
          <w:p>
            <w:r>
              <w:t>Average Availability</w:t>
            </w:r>
          </w:p>
        </w:tc>
      </w:tr>
      <w:tr>
        <w:tc>
          <w:tcPr>
            <w:tcW w:type="dxa" w:w="2880"/>
          </w:tcPr>
          <w:p>
            <w:r>
              <w:t>Haul Trucks</w:t>
            </w:r>
          </w:p>
        </w:tc>
        <w:tc>
          <w:tcPr>
            <w:tcW w:type="dxa" w:w="2880"/>
          </w:tcPr>
          <w:p>
            <w:r>
              <w:t>12</w:t>
            </w:r>
          </w:p>
        </w:tc>
        <w:tc>
          <w:tcPr>
            <w:tcW w:type="dxa" w:w="2880"/>
          </w:tcPr>
          <w:p>
            <w:r>
              <w:t>86%</w:t>
            </w:r>
          </w:p>
        </w:tc>
      </w:tr>
      <w:tr>
        <w:tc>
          <w:tcPr>
            <w:tcW w:type="dxa" w:w="2880"/>
          </w:tcPr>
          <w:p>
            <w:r>
              <w:t>Excavators</w:t>
            </w:r>
          </w:p>
        </w:tc>
        <w:tc>
          <w:tcPr>
            <w:tcW w:type="dxa" w:w="2880"/>
          </w:tcPr>
          <w:p>
            <w:r>
              <w:t>4</w:t>
            </w:r>
          </w:p>
        </w:tc>
        <w:tc>
          <w:tcPr>
            <w:tcW w:type="dxa" w:w="2880"/>
          </w:tcPr>
          <w:p>
            <w:r>
              <w:t>89%</w:t>
            </w:r>
          </w:p>
        </w:tc>
      </w:tr>
      <w:tr>
        <w:tc>
          <w:tcPr>
            <w:tcW w:type="dxa" w:w="2880"/>
          </w:tcPr>
          <w:p>
            <w:r>
              <w:t>Dozers</w:t>
            </w:r>
          </w:p>
        </w:tc>
        <w:tc>
          <w:tcPr>
            <w:tcW w:type="dxa" w:w="2880"/>
          </w:tcPr>
          <w:p>
            <w:r>
              <w:t>3</w:t>
            </w:r>
          </w:p>
        </w:tc>
        <w:tc>
          <w:tcPr>
            <w:tcW w:type="dxa" w:w="2880"/>
          </w:tcPr>
          <w:p>
            <w:r>
              <w:t>91%</w:t>
            </w:r>
          </w:p>
        </w:tc>
      </w:tr>
      <w:tr>
        <w:tc>
          <w:tcPr>
            <w:tcW w:type="dxa" w:w="2880"/>
          </w:tcPr>
          <w:p>
            <w:r>
              <w:t>Continuous Miners</w:t>
            </w:r>
          </w:p>
        </w:tc>
        <w:tc>
          <w:tcPr>
            <w:tcW w:type="dxa" w:w="2880"/>
          </w:tcPr>
          <w:p>
            <w:r>
              <w:t>2</w:t>
            </w:r>
          </w:p>
        </w:tc>
        <w:tc>
          <w:tcPr>
            <w:tcW w:type="dxa" w:w="2880"/>
          </w:tcPr>
          <w:p>
            <w:r>
              <w:t>84%</w:t>
            </w:r>
          </w:p>
        </w:tc>
      </w:tr>
    </w:tbl>
    <w:p>
      <w:pPr>
        <w:pStyle w:val="Heading1"/>
      </w:pPr>
      <w:r>
        <w:t>Key Topics / Keywords</w:t>
      </w:r>
    </w:p>
    <w:p>
      <w:r>
        <w:t>Ventilation, methane monitoring, haul-road maintenance, equipment availability, coal seam thickness, roof stability, production planning, historical comparison.</w:t>
      </w:r>
    </w:p>
    <w:p>
      <w:pPr>
        <w:pStyle w:val="Heading1"/>
      </w:pPr>
      <w:r>
        <w:t>Traceability</w:t>
      </w:r>
    </w:p>
    <w:p>
      <w:r>
        <w:t>Reference: GEOVANI-DEMO-001 | Pages: 1–4 | Year: 2025 | Status: Synthetic demonstration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