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Montserrat" w:cs="Montserrat" w:eastAsia="Montserrat" w:hAnsi="Montserrat"/>
          <w:b/>
          <w:bCs/>
          <w:color w:val="B8913A"/>
          <w:sz w:val="36"/>
          <w:szCs w:val="36"/>
        </w:rPr>
        <w:t xml:space="preserve">VisualAcademy</w:t>
      </w:r>
    </w:p>
    <w:p>
      <w:pPr>
        <w:pBdr>
          <w:bottom w:val="single" w:color="B8913A" w:sz="18" w:space="4"/>
        </w:pBdr>
        <w:spacing w:after="200"/>
      </w:pPr>
      <w:r>
        <w:rPr>
          <w:rFonts w:ascii="Cambria" w:cs="Cambria" w:eastAsia="Cambria" w:hAnsi="Cambria"/>
          <w:i/>
          <w:iCs/>
          <w:color w:val="555555"/>
          <w:sz w:val="18"/>
          <w:szCs w:val="18"/>
        </w:rPr>
        <w:t xml:space="preserve">entspannter – ausgeglichener – leistungsfähiger</w:t>
      </w:r>
    </w:p>
    <w:p>
      <w:pPr>
        <w:spacing w:after="40" w:before="120"/>
      </w:pPr>
      <w:r>
        <w:rPr>
          <w:rFonts w:ascii="Montserrat" w:cs="Montserrat" w:eastAsia="Montserrat" w:hAnsi="Montserrat"/>
          <w:color w:val="555555"/>
          <w:sz w:val="20"/>
          <w:szCs w:val="20"/>
        </w:rPr>
        <w:t xml:space="preserve">LEITFADEN · KOMPAKT</w:t>
      </w:r>
    </w:p>
    <w:p>
      <w:pPr>
        <w:spacing w:after="60"/>
      </w:pPr>
      <w:r>
        <w:rPr>
          <w:rFonts w:ascii="Montserrat" w:cs="Montserrat" w:eastAsia="Montserrat" w:hAnsi="Montserrat"/>
          <w:b/>
          <w:bCs/>
          <w:color w:val="2B2B2B"/>
          <w:sz w:val="42"/>
          <w:szCs w:val="42"/>
        </w:rPr>
        <w:t xml:space="preserve">Stark durch die Wechseljahre</w:t>
      </w:r>
    </w:p>
    <w:p>
      <w:pPr>
        <w:spacing w:after="200"/>
      </w:pPr>
      <w:r>
        <w:rPr>
          <w:rFonts w:ascii="Cambria" w:cs="Cambria" w:eastAsia="Cambria" w:hAnsi="Cambria"/>
          <w:color w:val="B8913A"/>
          <w:sz w:val="24"/>
          <w:szCs w:val="24"/>
        </w:rPr>
        <w:t xml:space="preserve">Mit Beschwerden und Stress gelassener umgehen – für Frauen ab 50</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900"/>
        <w:gridCol w:w="7398"/>
      </w:tblGrid>
      <w:tr>
        <w:tc>
          <w:tcPr>
            <w:tcW w:type="dxa" w:w="1900"/>
            <w:tcBorders>
              <w:top w:val="none" w:color="FFFFFF" w:sz="0"/>
              <w:left w:val="none" w:color="FFFFFF" w:sz="0"/>
              <w:bottom w:val="none" w:color="FFFFFF" w:sz="0"/>
              <w:right w:val="none" w:color="FFFFFF" w:sz="0"/>
            </w:tcBorders>
            <w:shd w:fill="F5EDDC" w:color="auto" w:val="clear"/>
            <w:tcMar>
              <w:top w:type="dxa" w:w="70"/>
              <w:left w:type="dxa" w:w="140"/>
              <w:bottom w:type="dxa" w:w="70"/>
              <w:right w:type="dxa" w:w="100"/>
            </w:tcMar>
          </w:tcPr>
          <w:p>
            <w:r>
              <w:rPr>
                <w:rFonts w:ascii="Montserrat" w:cs="Montserrat" w:eastAsia="Montserrat" w:hAnsi="Montserrat"/>
                <w:b/>
                <w:bCs/>
                <w:color w:val="B8913A"/>
                <w:sz w:val="20"/>
                <w:szCs w:val="20"/>
              </w:rPr>
              <w:t xml:space="preserve">Zielgruppe</w:t>
            </w:r>
          </w:p>
        </w:tc>
        <w:tc>
          <w:tcPr>
            <w:tcW w:type="dxa" w:w="7398"/>
            <w:tcBorders>
              <w:top w:val="none" w:color="FFFFFF" w:sz="0"/>
              <w:left w:val="none" w:color="FFFFFF" w:sz="0"/>
              <w:bottom w:val="none" w:color="FFFFFF" w:sz="0"/>
              <w:right w:val="none" w:color="FFFFFF" w:sz="0"/>
            </w:tcBorders>
            <w:tcMar>
              <w:top w:type="dxa" w:w="70"/>
              <w:left w:type="dxa" w:w="200"/>
              <w:bottom w:type="dxa" w:w="70"/>
              <w:right w:type="dxa" w:w="100"/>
            </w:tcMar>
          </w:tcPr>
          <w:p>
            <w:r>
              <w:rPr>
                <w:rFonts w:ascii="Cambria" w:cs="Cambria" w:eastAsia="Cambria" w:hAnsi="Cambria"/>
                <w:color w:val="2B2B2B"/>
                <w:sz w:val="21"/>
                <w:szCs w:val="21"/>
              </w:rPr>
              <w:t xml:space="preserve">Frauen in der Peri- und Postmenopause, Generation 50 plus</w:t>
            </w:r>
          </w:p>
        </w:tc>
      </w:tr>
      <w:tr>
        <w:tc>
          <w:tcPr>
            <w:tcW w:type="dxa" w:w="1900"/>
            <w:tcBorders>
              <w:top w:val="none" w:color="FFFFFF" w:sz="0"/>
              <w:left w:val="none" w:color="FFFFFF" w:sz="0"/>
              <w:bottom w:val="none" w:color="FFFFFF" w:sz="0"/>
              <w:right w:val="none" w:color="FFFFFF" w:sz="0"/>
            </w:tcBorders>
            <w:shd w:fill="F5EDDC" w:color="auto" w:val="clear"/>
            <w:tcMar>
              <w:top w:type="dxa" w:w="70"/>
              <w:left w:type="dxa" w:w="140"/>
              <w:bottom w:type="dxa" w:w="70"/>
              <w:right w:type="dxa" w:w="100"/>
            </w:tcMar>
          </w:tcPr>
          <w:p>
            <w:r>
              <w:rPr>
                <w:rFonts w:ascii="Montserrat" w:cs="Montserrat" w:eastAsia="Montserrat" w:hAnsi="Montserrat"/>
                <w:b/>
                <w:bCs/>
                <w:color w:val="B8913A"/>
                <w:sz w:val="20"/>
                <w:szCs w:val="20"/>
              </w:rPr>
              <w:t xml:space="preserve">Umfang</w:t>
            </w:r>
          </w:p>
        </w:tc>
        <w:tc>
          <w:tcPr>
            <w:tcW w:type="dxa" w:w="7398"/>
            <w:tcBorders>
              <w:top w:val="none" w:color="FFFFFF" w:sz="0"/>
              <w:left w:val="none" w:color="FFFFFF" w:sz="0"/>
              <w:bottom w:val="none" w:color="FFFFFF" w:sz="0"/>
              <w:right w:val="none" w:color="FFFFFF" w:sz="0"/>
            </w:tcBorders>
            <w:tcMar>
              <w:top w:type="dxa" w:w="70"/>
              <w:left w:type="dxa" w:w="200"/>
              <w:bottom w:type="dxa" w:w="70"/>
              <w:right w:type="dxa" w:w="100"/>
            </w:tcMar>
          </w:tcPr>
          <w:p>
            <w:r>
              <w:rPr>
                <w:rFonts w:ascii="Cambria" w:cs="Cambria" w:eastAsia="Cambria" w:hAnsi="Cambria"/>
                <w:color w:val="2B2B2B"/>
                <w:sz w:val="21"/>
                <w:szCs w:val="21"/>
              </w:rPr>
              <w:t xml:space="preserve">Leitfaden zum Lesen, Ausprobieren und Dokumentieren</w:t>
            </w:r>
          </w:p>
        </w:tc>
      </w:tr>
      <w:tr>
        <w:tc>
          <w:tcPr>
            <w:tcW w:type="dxa" w:w="1900"/>
            <w:tcBorders>
              <w:top w:val="none" w:color="FFFFFF" w:sz="0"/>
              <w:left w:val="none" w:color="FFFFFF" w:sz="0"/>
              <w:bottom w:val="none" w:color="FFFFFF" w:sz="0"/>
              <w:right w:val="none" w:color="FFFFFF" w:sz="0"/>
            </w:tcBorders>
            <w:shd w:fill="F5EDDC" w:color="auto" w:val="clear"/>
            <w:tcMar>
              <w:top w:type="dxa" w:w="70"/>
              <w:left w:type="dxa" w:w="140"/>
              <w:bottom w:type="dxa" w:w="70"/>
              <w:right w:type="dxa" w:w="100"/>
            </w:tcMar>
          </w:tcPr>
          <w:p>
            <w:r>
              <w:rPr>
                <w:rFonts w:ascii="Montserrat" w:cs="Montserrat" w:eastAsia="Montserrat" w:hAnsi="Montserrat"/>
                <w:b/>
                <w:bCs/>
                <w:color w:val="B8913A"/>
                <w:sz w:val="20"/>
                <w:szCs w:val="20"/>
              </w:rPr>
              <w:t xml:space="preserve">Bereich</w:t>
            </w:r>
          </w:p>
        </w:tc>
        <w:tc>
          <w:tcPr>
            <w:tcW w:type="dxa" w:w="7398"/>
            <w:tcBorders>
              <w:top w:val="none" w:color="FFFFFF" w:sz="0"/>
              <w:left w:val="none" w:color="FFFFFF" w:sz="0"/>
              <w:bottom w:val="none" w:color="FFFFFF" w:sz="0"/>
              <w:right w:val="none" w:color="FFFFFF" w:sz="0"/>
            </w:tcBorders>
            <w:tcMar>
              <w:top w:type="dxa" w:w="70"/>
              <w:left w:type="dxa" w:w="200"/>
              <w:bottom w:type="dxa" w:w="70"/>
              <w:right w:type="dxa" w:w="100"/>
            </w:tcMar>
          </w:tcPr>
          <w:p>
            <w:r>
              <w:rPr>
                <w:rFonts w:ascii="Cambria" w:cs="Cambria" w:eastAsia="Cambria" w:hAnsi="Cambria"/>
                <w:color w:val="2B2B2B"/>
                <w:sz w:val="21"/>
                <w:szCs w:val="21"/>
              </w:rPr>
              <w:t xml:space="preserve">VisualAcademy – Betriebliche Gesundheitsförderung &amp; Resilienz</w:t>
            </w:r>
          </w:p>
        </w:tc>
      </w:tr>
      <w:tr>
        <w:tc>
          <w:tcPr>
            <w:tcW w:type="dxa" w:w="1900"/>
            <w:tcBorders>
              <w:top w:val="none" w:color="FFFFFF" w:sz="0"/>
              <w:left w:val="none" w:color="FFFFFF" w:sz="0"/>
              <w:bottom w:val="none" w:color="FFFFFF" w:sz="0"/>
              <w:right w:val="none" w:color="FFFFFF" w:sz="0"/>
            </w:tcBorders>
            <w:shd w:fill="F5EDDC" w:color="auto" w:val="clear"/>
            <w:tcMar>
              <w:top w:type="dxa" w:w="70"/>
              <w:left w:type="dxa" w:w="140"/>
              <w:bottom w:type="dxa" w:w="70"/>
              <w:right w:type="dxa" w:w="100"/>
            </w:tcMar>
          </w:tcPr>
          <w:p>
            <w:r>
              <w:rPr>
                <w:rFonts w:ascii="Montserrat" w:cs="Montserrat" w:eastAsia="Montserrat" w:hAnsi="Montserrat"/>
                <w:b/>
                <w:bCs/>
                <w:color w:val="B8913A"/>
                <w:sz w:val="20"/>
                <w:szCs w:val="20"/>
              </w:rPr>
              <w:t xml:space="preserve">Wichtig</w:t>
            </w:r>
          </w:p>
        </w:tc>
        <w:tc>
          <w:tcPr>
            <w:tcW w:type="dxa" w:w="7398"/>
            <w:tcBorders>
              <w:top w:val="none" w:color="FFFFFF" w:sz="0"/>
              <w:left w:val="none" w:color="FFFFFF" w:sz="0"/>
              <w:bottom w:val="none" w:color="FFFFFF" w:sz="0"/>
              <w:right w:val="none" w:color="FFFFFF" w:sz="0"/>
            </w:tcBorders>
            <w:tcMar>
              <w:top w:type="dxa" w:w="70"/>
              <w:left w:type="dxa" w:w="200"/>
              <w:bottom w:type="dxa" w:w="70"/>
              <w:right w:type="dxa" w:w="100"/>
            </w:tcMar>
          </w:tcPr>
          <w:p>
            <w:r>
              <w:rPr>
                <w:rFonts w:ascii="Cambria" w:cs="Cambria" w:eastAsia="Cambria" w:hAnsi="Cambria"/>
                <w:color w:val="2B2B2B"/>
                <w:sz w:val="21"/>
                <w:szCs w:val="21"/>
              </w:rPr>
              <w:t xml:space="preserve">Der Leitfaden ersetzt keine ärztliche Diagnose oder Behandlung.</w:t>
            </w:r>
          </w:p>
        </w:tc>
      </w:tr>
    </w:tbl>
    <w:p>
      <w:pPr>
        <w:keepNext/>
        <w:pBdr>
          <w:bottom w:val="single" w:color="B8913A" w:sz="12" w:space="3"/>
        </w:pBdr>
        <w:spacing w:after="140" w:before="300"/>
      </w:pPr>
      <w:r>
        <w:rPr>
          <w:rFonts w:ascii="Montserrat" w:cs="Montserrat" w:eastAsia="Montserrat" w:hAnsi="Montserrat"/>
          <w:b/>
          <w:bCs/>
          <w:color w:val="B8913A"/>
          <w:sz w:val="27"/>
          <w:szCs w:val="27"/>
        </w:rPr>
        <w:t xml:space="preserve">Ausgangslage</w:t>
      </w:r>
    </w:p>
    <w:p>
      <w:pPr>
        <w:spacing w:after="140" w:line="290"/>
        <w:jc w:val="both"/>
      </w:pPr>
      <w:r>
        <w:rPr>
          <w:rFonts w:ascii="Cambria" w:cs="Cambria" w:eastAsia="Cambria" w:hAnsi="Cambria"/>
          <w:color w:val="2B2B2B"/>
          <w:sz w:val="21"/>
          <w:szCs w:val="21"/>
        </w:rPr>
        <w:t xml:space="preserve">Die Wechseljahre sind keine Krankheit, sondern eine natürliche Umstellung. Der Hormonhaushalt verändert sich über Jahre: Östrogen und Progesteron schwanken und sinken. Viele Frauen merken das an Hitzewallungen, Schlafproblemen, Stimmungsschwankungen oder Konzentrationslücken. Etwa jede zweite bis dritte Frau erlebt Beschwerden, die sie im Alltag deutlich belasten. Andere bleiben fast beschwerdefrei.</w:t>
      </w:r>
    </w:p>
    <w:p>
      <w:pPr>
        <w:spacing w:after="140" w:line="290"/>
        <w:jc w:val="both"/>
      </w:pPr>
      <w:r>
        <w:rPr>
          <w:rFonts w:ascii="Cambria" w:cs="Cambria" w:eastAsia="Cambria" w:hAnsi="Cambria"/>
          <w:color w:val="2B2B2B"/>
          <w:sz w:val="21"/>
          <w:szCs w:val="21"/>
        </w:rPr>
        <w:t xml:space="preserve">Hinzu kommt, dass diese Lebensphase oft mit viel Verantwortung zusammenfällt: Beruf, pflegebedürftige Eltern, Kinder im Umbruch, Veränderungen in der Partnerschaft. Stress und Beschwerden verstärken sich dann gegenseitig. Wer schlecht schläft, ist reizbarer. Wer gereizt ist, schläft schlechter. Dieser Leitfaden zeigt, wie Sie diesen Kreislauf unterbrechen können.</w:t>
      </w:r>
    </w:p>
    <w:p>
      <w:pPr>
        <w:keepNext/>
        <w:pBdr>
          <w:bottom w:val="single" w:color="B8913A" w:sz="12" w:space="3"/>
        </w:pBdr>
        <w:spacing w:after="140" w:before="300"/>
      </w:pPr>
      <w:r>
        <w:rPr>
          <w:rFonts w:ascii="Montserrat" w:cs="Montserrat" w:eastAsia="Montserrat" w:hAnsi="Montserrat"/>
          <w:b/>
          <w:bCs/>
          <w:color w:val="B8913A"/>
          <w:sz w:val="27"/>
          <w:szCs w:val="27"/>
        </w:rPr>
        <w:t xml:space="preserve">Ziele</w:t>
      </w:r>
    </w:p>
    <w:p>
      <w:pPr>
        <w:spacing w:after="80"/>
        <w:jc w:val="both"/>
      </w:pPr>
      <w:r>
        <w:rPr>
          <w:rFonts w:ascii="Cambria" w:cs="Cambria" w:eastAsia="Cambria" w:hAnsi="Cambria"/>
          <w:color w:val="2B2B2B"/>
          <w:sz w:val="21"/>
          <w:szCs w:val="21"/>
        </w:rPr>
        <w:t xml:space="preserve">Nach der Lektüre</w:t>
      </w:r>
    </w:p>
    <w:p>
      <w:pPr>
        <w:pStyle w:val="ListParagraph"/>
        <w:numPr>
          <w:ilvl w:val="0"/>
          <w:numId w:val="2"/>
        </w:numPr>
        <w:spacing w:after="70"/>
      </w:pPr>
      <w:r>
        <w:rPr>
          <w:rFonts w:ascii="Cambria" w:cs="Cambria" w:eastAsia="Cambria" w:hAnsi="Cambria"/>
          <w:color w:val="2B2B2B"/>
          <w:sz w:val="21"/>
          <w:szCs w:val="21"/>
        </w:rPr>
        <w:t xml:space="preserve">verstehen Sie, was in Ihrem Körper und Ihrer Psyche passiert,</w:t>
      </w:r>
    </w:p>
    <w:p>
      <w:pPr>
        <w:pStyle w:val="ListParagraph"/>
        <w:numPr>
          <w:ilvl w:val="0"/>
          <w:numId w:val="2"/>
        </w:numPr>
        <w:spacing w:after="70"/>
      </w:pPr>
      <w:r>
        <w:rPr>
          <w:rFonts w:ascii="Cambria" w:cs="Cambria" w:eastAsia="Cambria" w:hAnsi="Cambria"/>
          <w:color w:val="2B2B2B"/>
          <w:sz w:val="21"/>
          <w:szCs w:val="21"/>
        </w:rPr>
        <w:t xml:space="preserve">kennen Sie wirksame Strategien gegen die häufigsten Beschwerden,</w:t>
      </w:r>
    </w:p>
    <w:p>
      <w:pPr>
        <w:pStyle w:val="ListParagraph"/>
        <w:numPr>
          <w:ilvl w:val="0"/>
          <w:numId w:val="2"/>
        </w:numPr>
        <w:spacing w:after="70"/>
      </w:pPr>
      <w:r>
        <w:rPr>
          <w:rFonts w:ascii="Cambria" w:cs="Cambria" w:eastAsia="Cambria" w:hAnsi="Cambria"/>
          <w:color w:val="2B2B2B"/>
          <w:sz w:val="21"/>
          <w:szCs w:val="21"/>
        </w:rPr>
        <w:t xml:space="preserve">haben Sie einfache Soforthilfen gegen Stress zur Hand,</w:t>
      </w:r>
    </w:p>
    <w:p>
      <w:pPr>
        <w:pStyle w:val="ListParagraph"/>
        <w:numPr>
          <w:ilvl w:val="0"/>
          <w:numId w:val="2"/>
        </w:numPr>
        <w:spacing w:after="70"/>
      </w:pPr>
      <w:r>
        <w:rPr>
          <w:rFonts w:ascii="Cambria" w:cs="Cambria" w:eastAsia="Cambria" w:hAnsi="Cambria"/>
          <w:color w:val="2B2B2B"/>
          <w:sz w:val="21"/>
          <w:szCs w:val="21"/>
        </w:rPr>
        <w:t xml:space="preserve">wissen Sie, wann ärztlicher Rat sinnvoll ist,</w:t>
      </w:r>
    </w:p>
    <w:p>
      <w:pPr>
        <w:pStyle w:val="ListParagraph"/>
        <w:numPr>
          <w:ilvl w:val="0"/>
          <w:numId w:val="2"/>
        </w:numPr>
        <w:spacing w:after="70"/>
      </w:pPr>
      <w:r>
        <w:rPr>
          <w:rFonts w:ascii="Cambria" w:cs="Cambria" w:eastAsia="Cambria" w:hAnsi="Cambria"/>
          <w:color w:val="2B2B2B"/>
          <w:sz w:val="21"/>
          <w:szCs w:val="21"/>
        </w:rPr>
        <w:t xml:space="preserve">starten Sie mit einem konkreten 4-Wochen-Plan.</w:t>
      </w:r>
    </w:p>
    <w:p>
      <w:pPr>
        <w:keepNext/>
        <w:pBdr>
          <w:bottom w:val="single" w:color="B8913A" w:sz="12" w:space="3"/>
        </w:pBdr>
        <w:spacing w:after="140" w:before="300"/>
      </w:pPr>
      <w:r>
        <w:rPr>
          <w:rFonts w:ascii="Montserrat" w:cs="Montserrat" w:eastAsia="Montserrat" w:hAnsi="Montserrat"/>
          <w:b/>
          <w:bCs/>
          <w:color w:val="B8913A"/>
          <w:sz w:val="27"/>
          <w:szCs w:val="27"/>
        </w:rPr>
        <w:t xml:space="preserve">Teil 1: Beschwerden verstehen und lindern</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Hitzewallungen und Schweißausbrüche</w:t>
      </w:r>
    </w:p>
    <w:p>
      <w:pPr>
        <w:pStyle w:val="ListParagraph"/>
        <w:numPr>
          <w:ilvl w:val="0"/>
          <w:numId w:val="4"/>
        </w:numPr>
        <w:spacing w:after="60"/>
      </w:pPr>
      <w:r>
        <w:rPr>
          <w:rFonts w:ascii="Cambria" w:cs="Cambria" w:eastAsia="Cambria" w:hAnsi="Cambria"/>
          <w:color w:val="2B2B2B"/>
          <w:sz w:val="21"/>
          <w:szCs w:val="21"/>
        </w:rPr>
        <w:t xml:space="preserve">Typische Auslöser notieren: Alkohol, scharfes Essen, Koffein, Stress, warme Räume</w:t>
      </w:r>
    </w:p>
    <w:p>
      <w:pPr>
        <w:pStyle w:val="ListParagraph"/>
        <w:numPr>
          <w:ilvl w:val="0"/>
          <w:numId w:val="4"/>
        </w:numPr>
        <w:spacing w:after="60"/>
      </w:pPr>
      <w:r>
        <w:rPr>
          <w:rFonts w:ascii="Cambria" w:cs="Cambria" w:eastAsia="Cambria" w:hAnsi="Cambria"/>
          <w:color w:val="2B2B2B"/>
          <w:sz w:val="21"/>
          <w:szCs w:val="21"/>
        </w:rPr>
        <w:t xml:space="preserve">Kleidung im Zwiebelprinzip tragen, Naturfasern bevorzugen, kühles Getränk griffbereit halten</w:t>
      </w:r>
    </w:p>
    <w:p>
      <w:pPr>
        <w:pStyle w:val="ListParagraph"/>
        <w:numPr>
          <w:ilvl w:val="0"/>
          <w:numId w:val="4"/>
        </w:numPr>
        <w:spacing w:after="60"/>
      </w:pPr>
      <w:r>
        <w:rPr>
          <w:rFonts w:ascii="Cambria" w:cs="Cambria" w:eastAsia="Cambria" w:hAnsi="Cambria"/>
          <w:color w:val="2B2B2B"/>
          <w:sz w:val="21"/>
          <w:szCs w:val="21"/>
        </w:rPr>
        <w:t xml:space="preserve">Bei einer Welle langsam ausatmen (Atmung 4–6, siehe Teil 2) – das kann die Intensität dämpfen</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Schlafprobleme</w:t>
      </w:r>
    </w:p>
    <w:p>
      <w:pPr>
        <w:pStyle w:val="ListParagraph"/>
        <w:numPr>
          <w:ilvl w:val="0"/>
          <w:numId w:val="4"/>
        </w:numPr>
        <w:spacing w:after="60"/>
      </w:pPr>
      <w:r>
        <w:rPr>
          <w:rFonts w:ascii="Cambria" w:cs="Cambria" w:eastAsia="Cambria" w:hAnsi="Cambria"/>
          <w:color w:val="2B2B2B"/>
          <w:sz w:val="21"/>
          <w:szCs w:val="21"/>
        </w:rPr>
        <w:t xml:space="preserve">Feste Zeiten zum Aufstehen und Schlafengehen, auch am Wochenende</w:t>
      </w:r>
    </w:p>
    <w:p>
      <w:pPr>
        <w:pStyle w:val="ListParagraph"/>
        <w:numPr>
          <w:ilvl w:val="0"/>
          <w:numId w:val="4"/>
        </w:numPr>
        <w:spacing w:after="60"/>
      </w:pPr>
      <w:r>
        <w:rPr>
          <w:rFonts w:ascii="Cambria" w:cs="Cambria" w:eastAsia="Cambria" w:hAnsi="Cambria"/>
          <w:color w:val="2B2B2B"/>
          <w:sz w:val="21"/>
          <w:szCs w:val="21"/>
        </w:rPr>
        <w:t xml:space="preserve">Schlafzimmer kühl (16–18 °C), dunkel und ruhig; leichte Bettdecke in Schichten</w:t>
      </w:r>
    </w:p>
    <w:p>
      <w:pPr>
        <w:pStyle w:val="ListParagraph"/>
        <w:numPr>
          <w:ilvl w:val="0"/>
          <w:numId w:val="4"/>
        </w:numPr>
        <w:spacing w:after="60"/>
      </w:pPr>
      <w:r>
        <w:rPr>
          <w:rFonts w:ascii="Cambria" w:cs="Cambria" w:eastAsia="Cambria" w:hAnsi="Cambria"/>
          <w:color w:val="2B2B2B"/>
          <w:sz w:val="21"/>
          <w:szCs w:val="21"/>
        </w:rPr>
        <w:t xml:space="preserve">Abends kein Alkohol, keine schweren Mahlzeiten, Bildschirme eine Stunde vorher aus</w:t>
      </w:r>
    </w:p>
    <w:p>
      <w:pPr>
        <w:pStyle w:val="ListParagraph"/>
        <w:numPr>
          <w:ilvl w:val="0"/>
          <w:numId w:val="4"/>
        </w:numPr>
        <w:spacing w:after="60"/>
      </w:pPr>
      <w:r>
        <w:rPr>
          <w:rFonts w:ascii="Cambria" w:cs="Cambria" w:eastAsia="Cambria" w:hAnsi="Cambria"/>
          <w:color w:val="2B2B2B"/>
          <w:sz w:val="21"/>
          <w:szCs w:val="21"/>
        </w:rPr>
        <w:t xml:space="preserve">Wer wach liegt: aufstehen, etwas Ruhiges tun, erst bei Müdigkeit zurück ins Bett</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Stimmungsschwankungen und Reizbarkeit</w:t>
      </w:r>
    </w:p>
    <w:p>
      <w:pPr>
        <w:pStyle w:val="ListParagraph"/>
        <w:numPr>
          <w:ilvl w:val="0"/>
          <w:numId w:val="4"/>
        </w:numPr>
        <w:spacing w:after="60"/>
      </w:pPr>
      <w:r>
        <w:rPr>
          <w:rFonts w:ascii="Cambria" w:cs="Cambria" w:eastAsia="Cambria" w:hAnsi="Cambria"/>
          <w:color w:val="2B2B2B"/>
          <w:sz w:val="21"/>
          <w:szCs w:val="21"/>
        </w:rPr>
        <w:t xml:space="preserve">Schwankungen sind hormonell mitbedingt – das ist keine Charakterschwäche</w:t>
      </w:r>
    </w:p>
    <w:p>
      <w:pPr>
        <w:pStyle w:val="ListParagraph"/>
        <w:numPr>
          <w:ilvl w:val="0"/>
          <w:numId w:val="4"/>
        </w:numPr>
        <w:spacing w:after="60"/>
      </w:pPr>
      <w:r>
        <w:rPr>
          <w:rFonts w:ascii="Cambria" w:cs="Cambria" w:eastAsia="Cambria" w:hAnsi="Cambria"/>
          <w:color w:val="2B2B2B"/>
          <w:sz w:val="21"/>
          <w:szCs w:val="21"/>
        </w:rPr>
        <w:t xml:space="preserve">Frühwarnzeichen erkennen und eine kurze Auszeit nehmen, bevor die Anspannung überläuft</w:t>
      </w:r>
    </w:p>
    <w:p>
      <w:pPr>
        <w:pStyle w:val="ListParagraph"/>
        <w:numPr>
          <w:ilvl w:val="0"/>
          <w:numId w:val="4"/>
        </w:numPr>
        <w:spacing w:after="60"/>
      </w:pPr>
      <w:r>
        <w:rPr>
          <w:rFonts w:ascii="Cambria" w:cs="Cambria" w:eastAsia="Cambria" w:hAnsi="Cambria"/>
          <w:color w:val="2B2B2B"/>
          <w:sz w:val="21"/>
          <w:szCs w:val="21"/>
        </w:rPr>
        <w:t xml:space="preserve">Vertraute Menschen informieren: „Ich bin gerade dünnhäutiger, das hat mit den Wechseljahren zu tun."</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Konzentration und „Nebel im Kopf"</w:t>
      </w:r>
    </w:p>
    <w:p>
      <w:pPr>
        <w:pStyle w:val="ListParagraph"/>
        <w:numPr>
          <w:ilvl w:val="0"/>
          <w:numId w:val="4"/>
        </w:numPr>
        <w:spacing w:after="60"/>
      </w:pPr>
      <w:r>
        <w:rPr>
          <w:rFonts w:ascii="Cambria" w:cs="Cambria" w:eastAsia="Cambria" w:hAnsi="Cambria"/>
          <w:color w:val="2B2B2B"/>
          <w:sz w:val="21"/>
          <w:szCs w:val="21"/>
        </w:rPr>
        <w:t xml:space="preserve">Aufgaben aufschreiben statt im Kopf behalten, wichtige Dinge zuerst erledigen</w:t>
      </w:r>
    </w:p>
    <w:p>
      <w:pPr>
        <w:pStyle w:val="ListParagraph"/>
        <w:numPr>
          <w:ilvl w:val="0"/>
          <w:numId w:val="4"/>
        </w:numPr>
        <w:spacing w:after="60"/>
      </w:pPr>
      <w:r>
        <w:rPr>
          <w:rFonts w:ascii="Cambria" w:cs="Cambria" w:eastAsia="Cambria" w:hAnsi="Cambria"/>
          <w:color w:val="2B2B2B"/>
          <w:sz w:val="21"/>
          <w:szCs w:val="21"/>
        </w:rPr>
        <w:t xml:space="preserve">Eine Sache nach der anderen; Pausen alle 60–90 Minuten</w:t>
      </w:r>
    </w:p>
    <w:p>
      <w:pPr>
        <w:pStyle w:val="ListParagraph"/>
        <w:numPr>
          <w:ilvl w:val="0"/>
          <w:numId w:val="4"/>
        </w:numPr>
        <w:spacing w:after="60"/>
      </w:pPr>
      <w:r>
        <w:rPr>
          <w:rFonts w:ascii="Cambria" w:cs="Cambria" w:eastAsia="Cambria" w:hAnsi="Cambria"/>
          <w:color w:val="2B2B2B"/>
          <w:sz w:val="21"/>
          <w:szCs w:val="21"/>
        </w:rPr>
        <w:t xml:space="preserve">Konzentrationsprobleme sind in dieser Phase häufig und meist vorübergehend</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Gelenke, Muskeln und Knochen</w:t>
      </w:r>
    </w:p>
    <w:p>
      <w:pPr>
        <w:pStyle w:val="ListParagraph"/>
        <w:numPr>
          <w:ilvl w:val="0"/>
          <w:numId w:val="4"/>
        </w:numPr>
        <w:spacing w:after="60"/>
      </w:pPr>
      <w:r>
        <w:rPr>
          <w:rFonts w:ascii="Cambria" w:cs="Cambria" w:eastAsia="Cambria" w:hAnsi="Cambria"/>
          <w:color w:val="2B2B2B"/>
          <w:sz w:val="21"/>
          <w:szCs w:val="21"/>
        </w:rPr>
        <w:t xml:space="preserve">Kraftübungen zweimal pro Woche erhalten Muskeln und Knochendichte</w:t>
      </w:r>
    </w:p>
    <w:p>
      <w:pPr>
        <w:pStyle w:val="ListParagraph"/>
        <w:numPr>
          <w:ilvl w:val="0"/>
          <w:numId w:val="4"/>
        </w:numPr>
        <w:spacing w:after="60"/>
      </w:pPr>
      <w:r>
        <w:rPr>
          <w:rFonts w:ascii="Cambria" w:cs="Cambria" w:eastAsia="Cambria" w:hAnsi="Cambria"/>
          <w:color w:val="2B2B2B"/>
          <w:sz w:val="21"/>
          <w:szCs w:val="21"/>
        </w:rPr>
        <w:t xml:space="preserve">Ausreichend Calcium, Vitamin D und Eiweiß; bei Unsicherheit Werte beim Arzt prüfen lassen</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Haut, Schleimhäute und Blase</w:t>
      </w:r>
    </w:p>
    <w:p>
      <w:pPr>
        <w:pStyle w:val="ListParagraph"/>
        <w:numPr>
          <w:ilvl w:val="0"/>
          <w:numId w:val="4"/>
        </w:numPr>
        <w:spacing w:after="60"/>
      </w:pPr>
      <w:r>
        <w:rPr>
          <w:rFonts w:ascii="Cambria" w:cs="Cambria" w:eastAsia="Cambria" w:hAnsi="Cambria"/>
          <w:color w:val="2B2B2B"/>
          <w:sz w:val="21"/>
          <w:szCs w:val="21"/>
        </w:rPr>
        <w:t xml:space="preserve">Trockenheit und Blasenschwäche sind häufig und gut behandelbar – bitte nicht aus Scham schweigen</w:t>
      </w:r>
    </w:p>
    <w:p>
      <w:pPr>
        <w:pStyle w:val="ListParagraph"/>
        <w:numPr>
          <w:ilvl w:val="0"/>
          <w:numId w:val="4"/>
        </w:numPr>
        <w:spacing w:after="60"/>
      </w:pPr>
      <w:r>
        <w:rPr>
          <w:rFonts w:ascii="Cambria" w:cs="Cambria" w:eastAsia="Cambria" w:hAnsi="Cambria"/>
          <w:color w:val="2B2B2B"/>
          <w:sz w:val="21"/>
          <w:szCs w:val="21"/>
        </w:rPr>
        <w:t xml:space="preserve">Beckenbodentraining und feuchtigkeitsspendende Pflege helfen; Ihre Frauenärztin berät zu weiteren Optionen</w:t>
      </w:r>
    </w:p>
    <w:p>
      <w:pPr>
        <w:keepNext/>
        <w:pBdr>
          <w:bottom w:val="single" w:color="B8913A" w:sz="12" w:space="3"/>
        </w:pBdr>
        <w:spacing w:after="140" w:before="300"/>
      </w:pPr>
      <w:r>
        <w:rPr>
          <w:rFonts w:ascii="Montserrat" w:cs="Montserrat" w:eastAsia="Montserrat" w:hAnsi="Montserrat"/>
          <w:b/>
          <w:bCs/>
          <w:color w:val="B8913A"/>
          <w:sz w:val="27"/>
          <w:szCs w:val="27"/>
        </w:rPr>
        <w:t xml:space="preserve">Teil 2: Stress verstehen und regulieren</w:t>
      </w:r>
    </w:p>
    <w:p>
      <w:pPr>
        <w:spacing w:after="140" w:line="290"/>
        <w:jc w:val="both"/>
      </w:pPr>
      <w:r>
        <w:rPr>
          <w:rFonts w:ascii="Cambria" w:cs="Cambria" w:eastAsia="Cambria" w:hAnsi="Cambria"/>
          <w:color w:val="2B2B2B"/>
          <w:sz w:val="21"/>
          <w:szCs w:val="21"/>
        </w:rPr>
        <w:t xml:space="preserve">Unter Stress schüttet der Körper Cortisol und Adrenalin aus. Das kann Hitzewallungen, Schlafprobleme und Herzklopfen verstärken. Gleichzeitig fällt es in den Wechseljahren vielen Frauen schwerer, Anspannung wieder abzubauen. Die gute Nachricht: Sie können gegensteuern.</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Soforthilfe in 2 Minuten</w:t>
      </w:r>
    </w:p>
    <w:p>
      <w:pPr>
        <w:pStyle w:val="ListParagraph"/>
        <w:numPr>
          <w:ilvl w:val="0"/>
          <w:numId w:val="4"/>
        </w:numPr>
        <w:spacing w:after="60"/>
      </w:pPr>
      <w:r>
        <w:rPr>
          <w:rFonts w:ascii="Cambria" w:cs="Cambria" w:eastAsia="Cambria" w:hAnsi="Cambria"/>
          <w:b/>
          <w:bCs/>
          <w:color w:val="2B2B2B"/>
          <w:sz w:val="21"/>
          <w:szCs w:val="21"/>
        </w:rPr>
        <w:t xml:space="preserve"> Atmung 4–6: </w:t>
      </w:r>
      <w:r>
        <w:rPr>
          <w:rFonts w:ascii="Cambria" w:cs="Cambria" w:eastAsia="Cambria" w:hAnsi="Cambria"/>
          <w:color w:val="2B2B2B"/>
          <w:sz w:val="21"/>
          <w:szCs w:val="21"/>
        </w:rPr>
        <w:t xml:space="preserve">Einatmen auf 4 Zählzeiten, ausatmen auf 6. Fünf bis zehn Runden beruhigen das Nervensystem.</w:t>
      </w:r>
    </w:p>
    <w:p>
      <w:pPr>
        <w:pStyle w:val="ListParagraph"/>
        <w:numPr>
          <w:ilvl w:val="0"/>
          <w:numId w:val="4"/>
        </w:numPr>
        <w:spacing w:after="60"/>
      </w:pPr>
      <w:r>
        <w:rPr>
          <w:rFonts w:ascii="Cambria" w:cs="Cambria" w:eastAsia="Cambria" w:hAnsi="Cambria"/>
          <w:b/>
          <w:bCs/>
          <w:color w:val="2B2B2B"/>
          <w:sz w:val="21"/>
          <w:szCs w:val="21"/>
        </w:rPr>
        <w:t xml:space="preserve"> 5-4-3-2-1: </w:t>
      </w:r>
      <w:r>
        <w:rPr>
          <w:rFonts w:ascii="Cambria" w:cs="Cambria" w:eastAsia="Cambria" w:hAnsi="Cambria"/>
          <w:color w:val="2B2B2B"/>
          <w:sz w:val="21"/>
          <w:szCs w:val="21"/>
        </w:rPr>
        <w:t xml:space="preserve">Fünf Dinge sehen, vier hören, drei fühlen, zwei riechen, eins schmecken. Das holt Sie aus dem Gedankenkarussell.</w:t>
      </w:r>
    </w:p>
    <w:p>
      <w:pPr>
        <w:pStyle w:val="ListParagraph"/>
        <w:numPr>
          <w:ilvl w:val="0"/>
          <w:numId w:val="4"/>
        </w:numPr>
        <w:spacing w:after="60"/>
      </w:pPr>
      <w:r>
        <w:rPr>
          <w:rFonts w:ascii="Cambria" w:cs="Cambria" w:eastAsia="Cambria" w:hAnsi="Cambria"/>
          <w:b/>
          <w:bCs/>
          <w:color w:val="2B2B2B"/>
          <w:sz w:val="21"/>
          <w:szCs w:val="21"/>
        </w:rPr>
        <w:t xml:space="preserve"> Körper nutzen: </w:t>
      </w:r>
      <w:r>
        <w:rPr>
          <w:rFonts w:ascii="Cambria" w:cs="Cambria" w:eastAsia="Cambria" w:hAnsi="Cambria"/>
          <w:color w:val="2B2B2B"/>
          <w:sz w:val="21"/>
          <w:szCs w:val="21"/>
        </w:rPr>
        <w:t xml:space="preserve">Kaltes Wasser über Handgelenke oder Gesicht, Füße fest auf den Boden spüren.</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Gedanken freundlich prüfen</w:t>
      </w:r>
    </w:p>
    <w:p>
      <w:pPr>
        <w:pStyle w:val="ListParagraph"/>
        <w:numPr>
          <w:ilvl w:val="0"/>
          <w:numId w:val="4"/>
        </w:numPr>
        <w:spacing w:after="60"/>
      </w:pPr>
      <w:r>
        <w:rPr>
          <w:rFonts w:ascii="Cambria" w:cs="Cambria" w:eastAsia="Cambria" w:hAnsi="Cambria"/>
          <w:color w:val="2B2B2B"/>
          <w:sz w:val="21"/>
          <w:szCs w:val="21"/>
        </w:rPr>
        <w:t xml:space="preserve">Typische Sätze wie „Ich funktioniere nicht mehr" oder „Ich werde alt" bewusst wahrnehmen</w:t>
      </w:r>
    </w:p>
    <w:p>
      <w:pPr>
        <w:pStyle w:val="ListParagraph"/>
        <w:numPr>
          <w:ilvl w:val="0"/>
          <w:numId w:val="4"/>
        </w:numPr>
        <w:spacing w:after="60"/>
      </w:pPr>
      <w:r>
        <w:rPr>
          <w:rFonts w:ascii="Cambria" w:cs="Cambria" w:eastAsia="Cambria" w:hAnsi="Cambria"/>
          <w:color w:val="2B2B2B"/>
          <w:sz w:val="21"/>
          <w:szCs w:val="21"/>
        </w:rPr>
        <w:t xml:space="preserve">Fragen Sie sich: Stimmt das wirklich? Was würde ich einer guten Freundin sagen?</w:t>
      </w:r>
    </w:p>
    <w:p>
      <w:pPr>
        <w:pStyle w:val="ListParagraph"/>
        <w:numPr>
          <w:ilvl w:val="0"/>
          <w:numId w:val="4"/>
        </w:numPr>
        <w:spacing w:after="60"/>
      </w:pPr>
      <w:r>
        <w:rPr>
          <w:rFonts w:ascii="Cambria" w:cs="Cambria" w:eastAsia="Cambria" w:hAnsi="Cambria"/>
          <w:color w:val="2B2B2B"/>
          <w:sz w:val="21"/>
          <w:szCs w:val="21"/>
        </w:rPr>
        <w:t xml:space="preserve">Formulieren Sie den Gedanken um: „Mein Körper stellt sich um, und ich unterstütze ihn."</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Grenzen setzen und Entlastung zulassen</w:t>
      </w:r>
    </w:p>
    <w:p>
      <w:pPr>
        <w:pStyle w:val="ListParagraph"/>
        <w:numPr>
          <w:ilvl w:val="0"/>
          <w:numId w:val="4"/>
        </w:numPr>
        <w:spacing w:after="60"/>
      </w:pPr>
      <w:r>
        <w:rPr>
          <w:rFonts w:ascii="Cambria" w:cs="Cambria" w:eastAsia="Cambria" w:hAnsi="Cambria"/>
          <w:color w:val="2B2B2B"/>
          <w:sz w:val="21"/>
          <w:szCs w:val="21"/>
        </w:rPr>
        <w:t xml:space="preserve">Aufgaben im Haushalt und in der Familie fair verteilen – nicht alles allein tragen</w:t>
      </w:r>
    </w:p>
    <w:p>
      <w:pPr>
        <w:pStyle w:val="ListParagraph"/>
        <w:numPr>
          <w:ilvl w:val="0"/>
          <w:numId w:val="4"/>
        </w:numPr>
        <w:spacing w:after="60"/>
      </w:pPr>
      <w:r>
        <w:rPr>
          <w:rFonts w:ascii="Cambria" w:cs="Cambria" w:eastAsia="Cambria" w:hAnsi="Cambria"/>
          <w:color w:val="2B2B2B"/>
          <w:sz w:val="21"/>
          <w:szCs w:val="21"/>
        </w:rPr>
        <w:t xml:space="preserve">Üben Sie ein freundliches, klares Nein; „Ich überlege es mir und melde mich" verschafft Luft</w:t>
      </w:r>
    </w:p>
    <w:p>
      <w:pPr>
        <w:pStyle w:val="ListParagraph"/>
        <w:numPr>
          <w:ilvl w:val="0"/>
          <w:numId w:val="4"/>
        </w:numPr>
        <w:spacing w:after="60"/>
      </w:pPr>
      <w:r>
        <w:rPr>
          <w:rFonts w:ascii="Cambria" w:cs="Cambria" w:eastAsia="Cambria" w:hAnsi="Cambria"/>
          <w:color w:val="2B2B2B"/>
          <w:sz w:val="21"/>
          <w:szCs w:val="21"/>
        </w:rPr>
        <w:t xml:space="preserve">Planen Sie täglich mindestens 20 Minuten Zeit ein, die nur Ihnen gehört</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Pausen und Erholung im Arbeitsalltag</w:t>
      </w:r>
    </w:p>
    <w:p>
      <w:pPr>
        <w:pStyle w:val="ListParagraph"/>
        <w:numPr>
          <w:ilvl w:val="0"/>
          <w:numId w:val="4"/>
        </w:numPr>
        <w:spacing w:after="60"/>
      </w:pPr>
      <w:r>
        <w:rPr>
          <w:rFonts w:ascii="Cambria" w:cs="Cambria" w:eastAsia="Cambria" w:hAnsi="Cambria"/>
          <w:color w:val="2B2B2B"/>
          <w:sz w:val="21"/>
          <w:szCs w:val="21"/>
        </w:rPr>
        <w:t xml:space="preserve">Kurze Bewegungspausen, Fenster öffnen, Wasser trinken</w:t>
      </w:r>
    </w:p>
    <w:p>
      <w:pPr>
        <w:pStyle w:val="ListParagraph"/>
        <w:numPr>
          <w:ilvl w:val="0"/>
          <w:numId w:val="4"/>
        </w:numPr>
        <w:spacing w:after="60"/>
      </w:pPr>
      <w:r>
        <w:rPr>
          <w:rFonts w:ascii="Cambria" w:cs="Cambria" w:eastAsia="Cambria" w:hAnsi="Cambria"/>
          <w:color w:val="2B2B2B"/>
          <w:sz w:val="21"/>
          <w:szCs w:val="21"/>
        </w:rPr>
        <w:t xml:space="preserve">Wenn möglich: Arbeitsplatz kühler gestalten, Ventilator nutzen, offen mit Vorgesetzten sprechen</w:t>
      </w:r>
    </w:p>
    <w:p>
      <w:pPr>
        <w:keepNext/>
        <w:pBdr>
          <w:bottom w:val="single" w:color="B8913A" w:sz="12" w:space="3"/>
        </w:pBdr>
        <w:spacing w:after="140" w:before="300"/>
      </w:pPr>
      <w:r>
        <w:rPr>
          <w:rFonts w:ascii="Montserrat" w:cs="Montserrat" w:eastAsia="Montserrat" w:hAnsi="Montserrat"/>
          <w:b/>
          <w:bCs/>
          <w:color w:val="B8913A"/>
          <w:sz w:val="27"/>
          <w:szCs w:val="27"/>
        </w:rPr>
        <w:t xml:space="preserve">Teil 3: Der Alltag als stärkste Medizin</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Bewegung</w:t>
      </w:r>
    </w:p>
    <w:p>
      <w:pPr>
        <w:pStyle w:val="ListParagraph"/>
        <w:numPr>
          <w:ilvl w:val="0"/>
          <w:numId w:val="4"/>
        </w:numPr>
        <w:spacing w:after="60"/>
      </w:pPr>
      <w:r>
        <w:rPr>
          <w:rFonts w:ascii="Cambria" w:cs="Cambria" w:eastAsia="Cambria" w:hAnsi="Cambria"/>
          <w:color w:val="2B2B2B"/>
          <w:sz w:val="21"/>
          <w:szCs w:val="21"/>
        </w:rPr>
        <w:t xml:space="preserve">Mindestens 150 Minuten Ausdauer pro Woche, etwa zügiges Gehen, Radfahren oder Schwimmen</w:t>
      </w:r>
    </w:p>
    <w:p>
      <w:pPr>
        <w:pStyle w:val="ListParagraph"/>
        <w:numPr>
          <w:ilvl w:val="0"/>
          <w:numId w:val="4"/>
        </w:numPr>
        <w:spacing w:after="60"/>
      </w:pPr>
      <w:r>
        <w:rPr>
          <w:rFonts w:ascii="Cambria" w:cs="Cambria" w:eastAsia="Cambria" w:hAnsi="Cambria"/>
          <w:color w:val="2B2B2B"/>
          <w:sz w:val="21"/>
          <w:szCs w:val="21"/>
        </w:rPr>
        <w:t xml:space="preserve">Zusätzlich zweimal Krafttraining; schon Übungen mit dem eigenen Körpergewicht wirken</w:t>
      </w:r>
    </w:p>
    <w:p>
      <w:pPr>
        <w:pStyle w:val="ListParagraph"/>
        <w:numPr>
          <w:ilvl w:val="0"/>
          <w:numId w:val="4"/>
        </w:numPr>
        <w:spacing w:after="60"/>
      </w:pPr>
      <w:r>
        <w:rPr>
          <w:rFonts w:ascii="Cambria" w:cs="Cambria" w:eastAsia="Cambria" w:hAnsi="Cambria"/>
          <w:color w:val="2B2B2B"/>
          <w:sz w:val="21"/>
          <w:szCs w:val="21"/>
        </w:rPr>
        <w:t xml:space="preserve">Wichtig ist, dass es Ihnen Freude macht – dann bleiben Sie dabei</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Ernährung</w:t>
      </w:r>
    </w:p>
    <w:p>
      <w:pPr>
        <w:pStyle w:val="ListParagraph"/>
        <w:numPr>
          <w:ilvl w:val="0"/>
          <w:numId w:val="4"/>
        </w:numPr>
        <w:spacing w:after="60"/>
      </w:pPr>
      <w:r>
        <w:rPr>
          <w:rFonts w:ascii="Cambria" w:cs="Cambria" w:eastAsia="Cambria" w:hAnsi="Cambria"/>
          <w:color w:val="2B2B2B"/>
          <w:sz w:val="21"/>
          <w:szCs w:val="21"/>
        </w:rPr>
        <w:t xml:space="preserve">Viel Gemüse, Obst, Vollkorn, Hülsenfrüchte, Nüsse und Fisch; ausreichend Eiweiß</w:t>
      </w:r>
    </w:p>
    <w:p>
      <w:pPr>
        <w:pStyle w:val="ListParagraph"/>
        <w:numPr>
          <w:ilvl w:val="0"/>
          <w:numId w:val="4"/>
        </w:numPr>
        <w:spacing w:after="60"/>
      </w:pPr>
      <w:r>
        <w:rPr>
          <w:rFonts w:ascii="Cambria" w:cs="Cambria" w:eastAsia="Cambria" w:hAnsi="Cambria"/>
          <w:color w:val="2B2B2B"/>
          <w:sz w:val="21"/>
          <w:szCs w:val="21"/>
        </w:rPr>
        <w:t xml:space="preserve">Calciumreiche Lebensmittel (Milchprodukte, grünes Gemüse, calciumreiches Mineralwasser)</w:t>
      </w:r>
    </w:p>
    <w:p>
      <w:pPr>
        <w:pStyle w:val="ListParagraph"/>
        <w:numPr>
          <w:ilvl w:val="0"/>
          <w:numId w:val="4"/>
        </w:numPr>
        <w:spacing w:after="60"/>
      </w:pPr>
      <w:r>
        <w:rPr>
          <w:rFonts w:ascii="Cambria" w:cs="Cambria" w:eastAsia="Cambria" w:hAnsi="Cambria"/>
          <w:color w:val="2B2B2B"/>
          <w:sz w:val="21"/>
          <w:szCs w:val="21"/>
        </w:rPr>
        <w:t xml:space="preserve">Alkohol, Koffein und sehr scharfe Speisen im Blick behalten, wenn sie Beschwerden auslösen</w:t>
      </w:r>
    </w:p>
    <w:p>
      <w:pPr>
        <w:pStyle w:val="ListParagraph"/>
        <w:keepNext/>
        <w:numPr>
          <w:ilvl w:val="0"/>
          <w:numId w:val="3"/>
        </w:numPr>
        <w:spacing w:after="70" w:before="180"/>
      </w:pPr>
      <w:r>
        <w:rPr>
          <w:rFonts w:ascii="Montserrat" w:cs="Montserrat" w:eastAsia="Montserrat" w:hAnsi="Montserrat"/>
          <w:b/>
          <w:bCs/>
          <w:color w:val="2B2B2B"/>
          <w:sz w:val="22"/>
          <w:szCs w:val="22"/>
        </w:rPr>
        <w:t xml:space="preserve">Soziale Kontakte und Sinn</w:t>
      </w:r>
    </w:p>
    <w:p>
      <w:pPr>
        <w:pStyle w:val="ListParagraph"/>
        <w:numPr>
          <w:ilvl w:val="0"/>
          <w:numId w:val="4"/>
        </w:numPr>
        <w:spacing w:after="60"/>
      </w:pPr>
      <w:r>
        <w:rPr>
          <w:rFonts w:ascii="Cambria" w:cs="Cambria" w:eastAsia="Cambria" w:hAnsi="Cambria"/>
          <w:color w:val="2B2B2B"/>
          <w:sz w:val="21"/>
          <w:szCs w:val="21"/>
        </w:rPr>
        <w:t xml:space="preserve">Sprechen Sie mit Freundinnen, in Gruppen oder Selbsthilfeangeboten über Ihre Erfahrungen</w:t>
      </w:r>
    </w:p>
    <w:p>
      <w:pPr>
        <w:pStyle w:val="ListParagraph"/>
        <w:numPr>
          <w:ilvl w:val="0"/>
          <w:numId w:val="4"/>
        </w:numPr>
        <w:spacing w:after="60"/>
      </w:pPr>
      <w:r>
        <w:rPr>
          <w:rFonts w:ascii="Cambria" w:cs="Cambria" w:eastAsia="Cambria" w:hAnsi="Cambria"/>
          <w:color w:val="2B2B2B"/>
          <w:sz w:val="21"/>
          <w:szCs w:val="21"/>
        </w:rPr>
        <w:t xml:space="preserve">Neue Projekte, Hobbys und Ehrenämter geben dieser Lebensphase Richtung und Energie</w:t>
      </w:r>
    </w:p>
    <w:p>
      <w:pPr>
        <w:keepNext/>
        <w:pBdr>
          <w:bottom w:val="single" w:color="B8913A" w:sz="12" w:space="3"/>
        </w:pBdr>
        <w:spacing w:after="140" w:before="300"/>
      </w:pPr>
      <w:r>
        <w:rPr>
          <w:rFonts w:ascii="Montserrat" w:cs="Montserrat" w:eastAsia="Montserrat" w:hAnsi="Montserrat"/>
          <w:b/>
          <w:bCs/>
          <w:color w:val="B8913A"/>
          <w:sz w:val="27"/>
          <w:szCs w:val="27"/>
        </w:rPr>
        <w:t xml:space="preserve">Teil 4: Wann Sie ärztlichen Rat suchen sollten</w:t>
      </w:r>
    </w:p>
    <w:p>
      <w:pPr>
        <w:pStyle w:val="ListParagraph"/>
        <w:numPr>
          <w:ilvl w:val="0"/>
          <w:numId w:val="4"/>
        </w:numPr>
        <w:spacing w:after="60"/>
      </w:pPr>
      <w:r>
        <w:rPr>
          <w:rFonts w:ascii="Cambria" w:cs="Cambria" w:eastAsia="Cambria" w:hAnsi="Cambria"/>
          <w:color w:val="2B2B2B"/>
          <w:sz w:val="21"/>
          <w:szCs w:val="21"/>
        </w:rPr>
        <w:t xml:space="preserve">Beschwerden belasten Ihren Alltag, Schlaf oder Ihre Beziehungen stark</w:t>
      </w:r>
    </w:p>
    <w:p>
      <w:pPr>
        <w:pStyle w:val="ListParagraph"/>
        <w:numPr>
          <w:ilvl w:val="0"/>
          <w:numId w:val="4"/>
        </w:numPr>
        <w:spacing w:after="60"/>
      </w:pPr>
      <w:r>
        <w:rPr>
          <w:rFonts w:ascii="Cambria" w:cs="Cambria" w:eastAsia="Cambria" w:hAnsi="Cambria"/>
          <w:color w:val="2B2B2B"/>
          <w:sz w:val="21"/>
          <w:szCs w:val="21"/>
        </w:rPr>
        <w:t xml:space="preserve">Blutungen nach der Menopause oder sehr starke, unregelmäßige Blutungen</w:t>
      </w:r>
    </w:p>
    <w:p>
      <w:pPr>
        <w:pStyle w:val="ListParagraph"/>
        <w:numPr>
          <w:ilvl w:val="0"/>
          <w:numId w:val="4"/>
        </w:numPr>
        <w:spacing w:after="60"/>
      </w:pPr>
      <w:r>
        <w:rPr>
          <w:rFonts w:ascii="Cambria" w:cs="Cambria" w:eastAsia="Cambria" w:hAnsi="Cambria"/>
          <w:color w:val="2B2B2B"/>
          <w:sz w:val="21"/>
          <w:szCs w:val="21"/>
        </w:rPr>
        <w:t xml:space="preserve">Anhaltende Niedergeschlagenheit, Antriebslosigkeit, Ängste oder Panik über mehr als zwei Wochen</w:t>
      </w:r>
    </w:p>
    <w:p>
      <w:pPr>
        <w:pStyle w:val="ListParagraph"/>
        <w:numPr>
          <w:ilvl w:val="0"/>
          <w:numId w:val="4"/>
        </w:numPr>
        <w:spacing w:after="60"/>
      </w:pPr>
      <w:r>
        <w:rPr>
          <w:rFonts w:ascii="Cambria" w:cs="Cambria" w:eastAsia="Cambria" w:hAnsi="Cambria"/>
          <w:color w:val="2B2B2B"/>
          <w:sz w:val="21"/>
          <w:szCs w:val="21"/>
        </w:rPr>
        <w:t xml:space="preserve">Sie möchten wissen, ob eine Hormontherapie oder andere ärztliche Behandlung für Sie infrage kommt</w:t>
      </w:r>
    </w:p>
    <w:p>
      <w:pPr>
        <w:spacing w:after="140" w:before="100" w:line="290"/>
        <w:jc w:val="both"/>
      </w:pPr>
      <w:r>
        <w:rPr>
          <w:rFonts w:ascii="Cambria" w:cs="Cambria" w:eastAsia="Cambria" w:hAnsi="Cambria"/>
          <w:color w:val="2B2B2B"/>
          <w:sz w:val="21"/>
          <w:szCs w:val="21"/>
        </w:rPr>
        <w:t xml:space="preserve">Hormonelle und andere Behandlungen haben Nutzen und Risiken, die individuell abgewogen werden müssen. Besprechen Sie das mit Ihrer Frauenärztin oder Ihrem Frauenarzt. Rezeptfreie Präparate sind nicht für alle Frauen wirksam und können Wechselwirkungen haben.</w:t>
      </w:r>
    </w:p>
    <w:p>
      <w:pPr>
        <w:spacing w:after="140" w:line="290"/>
        <w:jc w:val="both"/>
      </w:pPr>
      <w:r>
        <w:rPr>
          <w:rFonts w:ascii="Cambria" w:cs="Cambria" w:eastAsia="Cambria" w:hAnsi="Cambria"/>
          <w:b/>
          <w:bCs/>
          <w:color w:val="2B2B2B"/>
          <w:sz w:val="21"/>
          <w:szCs w:val="21"/>
        </w:rPr>
        <w:t xml:space="preserve">In seelischer Not: </w:t>
      </w:r>
      <w:r>
        <w:rPr>
          <w:rFonts w:ascii="Cambria" w:cs="Cambria" w:eastAsia="Cambria" w:hAnsi="Cambria"/>
          <w:color w:val="2B2B2B"/>
          <w:sz w:val="21"/>
          <w:szCs w:val="21"/>
        </w:rPr>
        <w:t xml:space="preserve">Die Telefonseelsorge ist kostenlos und rund um die Uhr erreichbar unter 0800 111 0 111 oder 0800 111 0 222. Bei akuter Gefahr wählen Sie den Notruf 112.</w:t>
      </w:r>
    </w:p>
    <w:p>
      <w:pPr>
        <w:keepNext/>
        <w:pBdr>
          <w:bottom w:val="single" w:color="B8913A" w:sz="12" w:space="3"/>
        </w:pBdr>
        <w:spacing w:after="140" w:before="300"/>
      </w:pPr>
      <w:r>
        <w:rPr>
          <w:rFonts w:ascii="Montserrat" w:cs="Montserrat" w:eastAsia="Montserrat" w:hAnsi="Montserrat"/>
          <w:b/>
          <w:bCs/>
          <w:color w:val="B8913A"/>
          <w:sz w:val="27"/>
          <w:szCs w:val="27"/>
        </w:rPr>
        <w:t xml:space="preserve">Ihr 4-Wochen-Plan</w:t>
      </w:r>
    </w:p>
    <w:p>
      <w:pPr>
        <w:pStyle w:val="ListParagraph"/>
        <w:numPr>
          <w:ilvl w:val="0"/>
          <w:numId w:val="2"/>
        </w:numPr>
        <w:spacing w:after="70"/>
      </w:pPr>
      <w:r>
        <w:rPr>
          <w:rFonts w:ascii="Cambria" w:cs="Cambria" w:eastAsia="Cambria" w:hAnsi="Cambria"/>
          <w:b/>
          <w:bCs/>
          <w:color w:val="2B2B2B"/>
          <w:sz w:val="21"/>
          <w:szCs w:val="21"/>
        </w:rPr>
        <w:t xml:space="preserve">Woche 1:</w:t>
      </w:r>
      <w:r>
        <w:rPr>
          <w:rFonts w:ascii="Cambria" w:cs="Cambria" w:eastAsia="Cambria" w:hAnsi="Cambria"/>
          <w:color w:val="2B2B2B"/>
          <w:sz w:val="21"/>
          <w:szCs w:val="21"/>
        </w:rPr>
        <w:t xml:space="preserve"> Beobachten Sie mit dem Beschwerdetagebuch (unten) Ihre Beschwerden, Auslöser und Stimmung. Üben Sie die Atmung 4–6 täglich.</w:t>
      </w:r>
    </w:p>
    <w:p>
      <w:pPr>
        <w:pStyle w:val="ListParagraph"/>
        <w:numPr>
          <w:ilvl w:val="0"/>
          <w:numId w:val="2"/>
        </w:numPr>
        <w:spacing w:after="70"/>
      </w:pPr>
      <w:r>
        <w:rPr>
          <w:rFonts w:ascii="Cambria" w:cs="Cambria" w:eastAsia="Cambria" w:hAnsi="Cambria"/>
          <w:b/>
          <w:bCs/>
          <w:color w:val="2B2B2B"/>
          <w:sz w:val="21"/>
          <w:szCs w:val="21"/>
        </w:rPr>
        <w:t xml:space="preserve">Woche 2:</w:t>
      </w:r>
      <w:r>
        <w:rPr>
          <w:rFonts w:ascii="Cambria" w:cs="Cambria" w:eastAsia="Cambria" w:hAnsi="Cambria"/>
          <w:color w:val="2B2B2B"/>
          <w:sz w:val="21"/>
          <w:szCs w:val="21"/>
        </w:rPr>
        <w:t xml:space="preserve"> Verbessern Sie Ihre Schlafroutine: feste Zeiten, kühles Schlafzimmer, Abendritual.</w:t>
      </w:r>
    </w:p>
    <w:p>
      <w:pPr>
        <w:pStyle w:val="ListParagraph"/>
        <w:numPr>
          <w:ilvl w:val="0"/>
          <w:numId w:val="2"/>
        </w:numPr>
        <w:spacing w:after="70"/>
      </w:pPr>
      <w:r>
        <w:rPr>
          <w:rFonts w:ascii="Cambria" w:cs="Cambria" w:eastAsia="Cambria" w:hAnsi="Cambria"/>
          <w:b/>
          <w:bCs/>
          <w:color w:val="2B2B2B"/>
          <w:sz w:val="21"/>
          <w:szCs w:val="21"/>
        </w:rPr>
        <w:t xml:space="preserve">Woche 3:</w:t>
      </w:r>
      <w:r>
        <w:rPr>
          <w:rFonts w:ascii="Cambria" w:cs="Cambria" w:eastAsia="Cambria" w:hAnsi="Cambria"/>
          <w:color w:val="2B2B2B"/>
          <w:sz w:val="21"/>
          <w:szCs w:val="21"/>
        </w:rPr>
        <w:t xml:space="preserve"> Beginnen Sie mit Bewegung: dreimal 30 Minuten Gehen und zweimal 15 Minuten Kraftübungen.</w:t>
      </w:r>
    </w:p>
    <w:p>
      <w:pPr>
        <w:pStyle w:val="ListParagraph"/>
        <w:numPr>
          <w:ilvl w:val="0"/>
          <w:numId w:val="2"/>
        </w:numPr>
        <w:spacing w:after="70"/>
      </w:pPr>
      <w:r>
        <w:rPr>
          <w:rFonts w:ascii="Cambria" w:cs="Cambria" w:eastAsia="Cambria" w:hAnsi="Cambria"/>
          <w:b/>
          <w:bCs/>
          <w:color w:val="2B2B2B"/>
          <w:sz w:val="21"/>
          <w:szCs w:val="21"/>
        </w:rPr>
        <w:t xml:space="preserve">Woche 4:</w:t>
      </w:r>
      <w:r>
        <w:rPr>
          <w:rFonts w:ascii="Cambria" w:cs="Cambria" w:eastAsia="Cambria" w:hAnsi="Cambria"/>
          <w:color w:val="2B2B2B"/>
          <w:sz w:val="21"/>
          <w:szCs w:val="21"/>
        </w:rPr>
        <w:t xml:space="preserve"> Entlasten Sie sich: Aufgaben abgeben, einmal bewusst Nein sagen, tägliche Auszeit sichern. Ziehen Sie Bilanz und vereinbaren Sie bei Bedarf einen Arzttermin.</w:t>
      </w:r>
    </w:p>
    <w:p>
      <w:pPr>
        <w:keepNext/>
        <w:pBdr>
          <w:bottom w:val="single" w:color="B8913A" w:sz="12" w:space="3"/>
        </w:pBdr>
        <w:spacing w:after="140" w:before="300"/>
      </w:pPr>
      <w:r>
        <w:rPr>
          <w:rFonts w:ascii="Montserrat" w:cs="Montserrat" w:eastAsia="Montserrat" w:hAnsi="Montserrat"/>
          <w:b/>
          <w:bCs/>
          <w:color w:val="B8913A"/>
          <w:sz w:val="27"/>
          <w:szCs w:val="27"/>
        </w:rPr>
        <w:t xml:space="preserve">Beschwerdetagebuch</w:t>
      </w:r>
    </w:p>
    <w:p>
      <w:pPr>
        <w:spacing w:after="120" w:line="290"/>
        <w:jc w:val="both"/>
      </w:pPr>
      <w:r>
        <w:rPr>
          <w:rFonts w:ascii="Cambria" w:cs="Cambria" w:eastAsia="Cambria" w:hAnsi="Cambria"/>
          <w:color w:val="2B2B2B"/>
          <w:sz w:val="21"/>
          <w:szCs w:val="21"/>
        </w:rPr>
        <w:t xml:space="preserve">Tragen Sie zwei bis vier Wochen lang ein, wie es Ihnen geht. Nehmen Sie das Tagebuch zum Arztgespräch mit, es erleichtert die Beratung erheblich.</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1300"/>
        <w:gridCol w:w="1900"/>
        <w:gridCol w:w="1998"/>
      </w:tblGrid>
      <w:tr>
        <w:trPr>
          <w:tblHeader/>
        </w:trPr>
        <w:tc>
          <w:tcPr>
            <w:tcW w:type="dxa" w:w="1400"/>
            <w:tcBorders>
              <w:top w:val="single" w:color="D9C9A3" w:sz="4"/>
              <w:left w:val="single" w:color="D9C9A3" w:sz="4"/>
              <w:bottom w:val="single" w:color="D9C9A3" w:sz="4"/>
              <w:right w:val="single" w:color="D9C9A3" w:sz="4"/>
            </w:tcBorders>
            <w:shd w:fill="F5EDDC" w:color="auto" w:val="clear"/>
            <w:tcMar>
              <w:top w:type="dxa" w:w="80"/>
              <w:left w:type="dxa" w:w="100"/>
              <w:bottom w:type="dxa" w:w="80"/>
              <w:right w:type="dxa" w:w="100"/>
            </w:tcMar>
          </w:tcPr>
          <w:p>
            <w:r>
              <w:rPr>
                <w:rFonts w:ascii="Montserrat" w:cs="Montserrat" w:eastAsia="Montserrat" w:hAnsi="Montserrat"/>
                <w:b/>
                <w:bCs/>
                <w:color w:val="B8913A"/>
                <w:sz w:val="17"/>
                <w:szCs w:val="17"/>
              </w:rPr>
              <w:t xml:space="preserve">Datum</w:t>
            </w:r>
          </w:p>
        </w:tc>
        <w:tc>
          <w:tcPr>
            <w:tcW w:type="dxa" w:w="2700"/>
            <w:tcBorders>
              <w:top w:val="single" w:color="D9C9A3" w:sz="4"/>
              <w:left w:val="single" w:color="D9C9A3" w:sz="4"/>
              <w:bottom w:val="single" w:color="D9C9A3" w:sz="4"/>
              <w:right w:val="single" w:color="D9C9A3" w:sz="4"/>
            </w:tcBorders>
            <w:shd w:fill="F5EDDC" w:color="auto" w:val="clear"/>
            <w:tcMar>
              <w:top w:type="dxa" w:w="80"/>
              <w:left w:type="dxa" w:w="100"/>
              <w:bottom w:type="dxa" w:w="80"/>
              <w:right w:type="dxa" w:w="100"/>
            </w:tcMar>
          </w:tcPr>
          <w:p>
            <w:r>
              <w:rPr>
                <w:rFonts w:ascii="Montserrat" w:cs="Montserrat" w:eastAsia="Montserrat" w:hAnsi="Montserrat"/>
                <w:b/>
                <w:bCs/>
                <w:color w:val="B8913A"/>
                <w:sz w:val="17"/>
                <w:szCs w:val="17"/>
              </w:rPr>
              <w:t xml:space="preserve">Beschwerde / Stimmung</w:t>
            </w:r>
          </w:p>
        </w:tc>
        <w:tc>
          <w:tcPr>
            <w:tcW w:type="dxa" w:w="1300"/>
            <w:tcBorders>
              <w:top w:val="single" w:color="D9C9A3" w:sz="4"/>
              <w:left w:val="single" w:color="D9C9A3" w:sz="4"/>
              <w:bottom w:val="single" w:color="D9C9A3" w:sz="4"/>
              <w:right w:val="single" w:color="D9C9A3" w:sz="4"/>
            </w:tcBorders>
            <w:shd w:fill="F5EDDC" w:color="auto" w:val="clear"/>
            <w:tcMar>
              <w:top w:type="dxa" w:w="80"/>
              <w:left w:type="dxa" w:w="100"/>
              <w:bottom w:type="dxa" w:w="80"/>
              <w:right w:type="dxa" w:w="100"/>
            </w:tcMar>
          </w:tcPr>
          <w:p>
            <w:r>
              <w:rPr>
                <w:rFonts w:ascii="Montserrat" w:cs="Montserrat" w:eastAsia="Montserrat" w:hAnsi="Montserrat"/>
                <w:b/>
                <w:bCs/>
                <w:color w:val="B8913A"/>
                <w:sz w:val="17"/>
                <w:szCs w:val="17"/>
              </w:rPr>
              <w:t xml:space="preserve">Stärke (1–10)</w:t>
            </w:r>
          </w:p>
        </w:tc>
        <w:tc>
          <w:tcPr>
            <w:tcW w:type="dxa" w:w="1900"/>
            <w:tcBorders>
              <w:top w:val="single" w:color="D9C9A3" w:sz="4"/>
              <w:left w:val="single" w:color="D9C9A3" w:sz="4"/>
              <w:bottom w:val="single" w:color="D9C9A3" w:sz="4"/>
              <w:right w:val="single" w:color="D9C9A3" w:sz="4"/>
            </w:tcBorders>
            <w:shd w:fill="F5EDDC" w:color="auto" w:val="clear"/>
            <w:tcMar>
              <w:top w:type="dxa" w:w="80"/>
              <w:left w:type="dxa" w:w="100"/>
              <w:bottom w:type="dxa" w:w="80"/>
              <w:right w:type="dxa" w:w="100"/>
            </w:tcMar>
          </w:tcPr>
          <w:p>
            <w:r>
              <w:rPr>
                <w:rFonts w:ascii="Montserrat" w:cs="Montserrat" w:eastAsia="Montserrat" w:hAnsi="Montserrat"/>
                <w:b/>
                <w:bCs/>
                <w:color w:val="B8913A"/>
                <w:sz w:val="17"/>
                <w:szCs w:val="17"/>
              </w:rPr>
              <w:t xml:space="preserve">Mögliche Auslöser</w:t>
            </w:r>
          </w:p>
        </w:tc>
        <w:tc>
          <w:tcPr>
            <w:tcW w:type="dxa" w:w="1998"/>
            <w:tcBorders>
              <w:top w:val="single" w:color="D9C9A3" w:sz="4"/>
              <w:left w:val="single" w:color="D9C9A3" w:sz="4"/>
              <w:bottom w:val="single" w:color="D9C9A3" w:sz="4"/>
              <w:right w:val="single" w:color="D9C9A3" w:sz="4"/>
            </w:tcBorders>
            <w:shd w:fill="F5EDDC" w:color="auto" w:val="clear"/>
            <w:tcMar>
              <w:top w:type="dxa" w:w="80"/>
              <w:left w:type="dxa" w:w="100"/>
              <w:bottom w:type="dxa" w:w="80"/>
              <w:right w:type="dxa" w:w="100"/>
            </w:tcMar>
          </w:tcPr>
          <w:p>
            <w:r>
              <w:rPr>
                <w:rFonts w:ascii="Montserrat" w:cs="Montserrat" w:eastAsia="Montserrat" w:hAnsi="Montserrat"/>
                <w:b/>
                <w:bCs/>
                <w:color w:val="B8913A"/>
                <w:sz w:val="17"/>
                <w:szCs w:val="17"/>
              </w:rPr>
              <w:t xml:space="preserve">Was hat geholfen?</w:t>
            </w:r>
          </w:p>
        </w:tc>
      </w:tr>
      <w:tr>
        <w:trPr>
          <w:trHeight w:val="520" w:hRule="atLeast"/>
        </w:trPr>
        <w:tc>
          <w:tcPr>
            <w:tcW w:type="dxa" w:w="14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27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3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98"/>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r>
      <w:tr>
        <w:trPr>
          <w:trHeight w:val="520" w:hRule="atLeast"/>
        </w:trPr>
        <w:tc>
          <w:tcPr>
            <w:tcW w:type="dxa" w:w="14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27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3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98"/>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r>
      <w:tr>
        <w:trPr>
          <w:trHeight w:val="520" w:hRule="atLeast"/>
        </w:trPr>
        <w:tc>
          <w:tcPr>
            <w:tcW w:type="dxa" w:w="14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27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3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98"/>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r>
      <w:tr>
        <w:trPr>
          <w:trHeight w:val="520" w:hRule="atLeast"/>
        </w:trPr>
        <w:tc>
          <w:tcPr>
            <w:tcW w:type="dxa" w:w="14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27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3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98"/>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r>
      <w:tr>
        <w:trPr>
          <w:trHeight w:val="520" w:hRule="atLeast"/>
        </w:trPr>
        <w:tc>
          <w:tcPr>
            <w:tcW w:type="dxa" w:w="14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27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3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98"/>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r>
      <w:tr>
        <w:trPr>
          <w:trHeight w:val="520" w:hRule="atLeast"/>
        </w:trPr>
        <w:tc>
          <w:tcPr>
            <w:tcW w:type="dxa" w:w="14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27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3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00"/>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c>
          <w:tcPr>
            <w:tcW w:type="dxa" w:w="1998"/>
            <w:tcBorders>
              <w:top w:val="single" w:color="D9C9A3" w:sz="4"/>
              <w:left w:val="single" w:color="D9C9A3" w:sz="4"/>
              <w:bottom w:val="single" w:color="D9C9A3" w:sz="4"/>
              <w:right w:val="single" w:color="D9C9A3" w:sz="4"/>
            </w:tcBorders>
            <w:tcMar>
              <w:top w:type="dxa" w:w="80"/>
              <w:left w:type="dxa" w:w="100"/>
              <w:bottom w:type="dxa" w:w="80"/>
              <w:right w:type="dxa" w:w="100"/>
            </w:tcMar>
          </w:tcPr>
          <w:p>
            <w:r>
              <w:rPr>
                <w:rFonts w:ascii="Cambria" w:cs="Cambria" w:eastAsia="Cambria" w:hAnsi="Cambria"/>
                <w:color w:val="2B2B2B"/>
                <w:sz w:val="21"/>
                <w:szCs w:val="21"/>
              </w:rPr>
              <w:t xml:space="preserve"> </w:t>
            </w:r>
          </w:p>
        </w:tc>
      </w:tr>
    </w:tbl>
    <w:p>
      <w:pPr>
        <w:keepNext/>
        <w:pBdr>
          <w:bottom w:val="single" w:color="B8913A" w:sz="12" w:space="3"/>
        </w:pBdr>
        <w:spacing w:after="140" w:before="300"/>
      </w:pPr>
      <w:r>
        <w:rPr>
          <w:rFonts w:ascii="Montserrat" w:cs="Montserrat" w:eastAsia="Montserrat" w:hAnsi="Montserrat"/>
          <w:b/>
          <w:bCs/>
          <w:color w:val="B8913A"/>
          <w:sz w:val="27"/>
          <w:szCs w:val="27"/>
        </w:rPr>
        <w:t xml:space="preserve">Ihr Nutzen</w:t>
      </w:r>
    </w:p>
    <w:p>
      <w:pPr>
        <w:pStyle w:val="ListParagraph"/>
        <w:numPr>
          <w:ilvl w:val="0"/>
          <w:numId w:val="4"/>
        </w:numPr>
        <w:spacing w:after="60"/>
      </w:pPr>
      <w:r>
        <w:rPr>
          <w:rFonts w:ascii="Cambria" w:cs="Cambria" w:eastAsia="Cambria" w:hAnsi="Cambria"/>
          <w:color w:val="2B2B2B"/>
          <w:sz w:val="21"/>
          <w:szCs w:val="21"/>
        </w:rPr>
        <w:t xml:space="preserve">Mehr Verständnis für Körper und Psyche in den Wechseljahren</w:t>
      </w:r>
    </w:p>
    <w:p>
      <w:pPr>
        <w:pStyle w:val="ListParagraph"/>
        <w:numPr>
          <w:ilvl w:val="0"/>
          <w:numId w:val="4"/>
        </w:numPr>
        <w:spacing w:after="60"/>
      </w:pPr>
      <w:r>
        <w:rPr>
          <w:rFonts w:ascii="Cambria" w:cs="Cambria" w:eastAsia="Cambria" w:hAnsi="Cambria"/>
          <w:color w:val="2B2B2B"/>
          <w:sz w:val="21"/>
          <w:szCs w:val="21"/>
        </w:rPr>
        <w:t xml:space="preserve">Praktische Werkzeuge gegen Beschwerden und Anspannung</w:t>
      </w:r>
    </w:p>
    <w:p>
      <w:pPr>
        <w:pStyle w:val="ListParagraph"/>
        <w:numPr>
          <w:ilvl w:val="0"/>
          <w:numId w:val="4"/>
        </w:numPr>
        <w:spacing w:after="60"/>
      </w:pPr>
      <w:r>
        <w:rPr>
          <w:rFonts w:ascii="Cambria" w:cs="Cambria" w:eastAsia="Cambria" w:hAnsi="Cambria"/>
          <w:color w:val="2B2B2B"/>
          <w:sz w:val="21"/>
          <w:szCs w:val="21"/>
        </w:rPr>
        <w:t xml:space="preserve">Besserer Schlaf, mehr Gelassenheit und Energie</w:t>
      </w:r>
    </w:p>
    <w:p>
      <w:pPr>
        <w:pStyle w:val="ListParagraph"/>
        <w:numPr>
          <w:ilvl w:val="0"/>
          <w:numId w:val="4"/>
        </w:numPr>
        <w:spacing w:after="60"/>
      </w:pPr>
      <w:r>
        <w:rPr>
          <w:rFonts w:ascii="Cambria" w:cs="Cambria" w:eastAsia="Cambria" w:hAnsi="Cambria"/>
          <w:color w:val="2B2B2B"/>
          <w:sz w:val="21"/>
          <w:szCs w:val="21"/>
        </w:rPr>
        <w:t xml:space="preserve">Sicherheit im Gespräch mit Ärztin, Arzt und Familie</w:t>
      </w:r>
    </w:p>
    <w:p>
      <w:pPr>
        <w:pBdr>
          <w:top w:val="single" w:color="B8913A" w:sz="12" w:space="6"/>
        </w:pBdr>
        <w:spacing w:after="40" w:before="300"/>
      </w:pPr>
      <w:r>
        <w:rPr>
          <w:rFonts w:ascii="Montserrat" w:cs="Montserrat" w:eastAsia="Montserrat" w:hAnsi="Montserrat"/>
          <w:b/>
          <w:bCs/>
          <w:color w:val="B8913A"/>
          <w:sz w:val="20"/>
          <w:szCs w:val="20"/>
        </w:rPr>
        <w:t xml:space="preserve">VisualAcademy GbR</w:t>
      </w:r>
    </w:p>
    <w:p>
      <w:r>
        <w:rPr>
          <w:rFonts w:ascii="Cambria" w:cs="Cambria" w:eastAsia="Cambria" w:hAnsi="Cambria"/>
          <w:color w:val="555555"/>
          <w:sz w:val="16"/>
          <w:szCs w:val="16"/>
        </w:rPr>
        <w:t xml:space="preserve">Betriebliche Gesundheitsförderung · Resilienz · Stressmanagement  |  www.visualacademy.de</w:t>
      </w:r>
    </w:p>
    <w:p>
      <w:pPr>
        <w:spacing w:before="80"/>
      </w:pPr>
      <w:r>
        <w:rPr>
          <w:rFonts w:ascii="Cambria" w:cs="Cambria" w:eastAsia="Cambria" w:hAnsi="Cambria"/>
          <w:i/>
          <w:iCs/>
          <w:color w:val="555555"/>
          <w:sz w:val="16"/>
          <w:szCs w:val="16"/>
        </w:rPr>
        <w:t xml:space="preserve">Hinweis: Dieser Leitfaden dient der allgemeinen Information und ersetzt keine ärztliche oder psychotherapeutische Beratung.</w:t>
      </w:r>
    </w:p>
    <w:sectPr>
      <w:footerReference w:type="default" r:id="rId7"/>
      <w:pgSz w:w="11906" w:h="16838" w:orient="portrait"/>
      <w:pgMar w:top="130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55555"/>
        <w:sz w:val="16"/>
        <w:szCs w:val="16"/>
      </w:rPr>
      <w:t xml:space="preserve">VisualAcademy · Leitfaden Wechseljahre – Seite </w:t>
    </w:r>
    <w:r>
      <w:rPr>
        <w:rFonts w:ascii="Cambria" w:cs="Cambria" w:eastAsia="Cambria" w:hAnsi="Cambria"/>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rFonts w:ascii="Cambria" w:cs="Cambria" w:eastAsia="Cambria" w:hAnsi="Cambria"/>
        <w:color w:val="B8913A"/>
      </w:rPr>
    </w:lvl>
  </w:abstractNum>
  <w:abstractNum w:abstractNumId="3" w15:restartNumberingAfterBreak="0">
    <w:multiLevelType w:val="hybridMultilevel"/>
    <w:lvl w:ilvl="0" w15:tentative="1">
      <w:start w:val="1"/>
      <w:numFmt w:val="bullet"/>
      <w:lvlText w:val="▸"/>
      <w:lvlJc w:val="left"/>
      <w:pPr>
        <w:ind w:left="280" w:hanging="280"/>
      </w:pPr>
      <w:rPr>
        <w:rFonts w:ascii="Arial" w:cs="Arial" w:eastAsia="Arial" w:hAnsi="Arial"/>
        <w:color w:val="B8913A"/>
        <w:sz w:val="18"/>
        <w:szCs w:val="18"/>
      </w:rPr>
    </w:lvl>
  </w:abstractNum>
  <w:abstractNum w:abstractNumId="4" w15:restartNumberingAfterBreak="0">
    <w:multiLevelType w:val="hybridMultilevel"/>
    <w:lvl w:ilvl="0" w15:tentative="1">
      <w:start w:val="1"/>
      <w:numFmt w:val="decimal"/>
      <w:lvlText w:val="%1."/>
      <w:lvlJc w:val="left"/>
      <w:pPr>
        <w:ind w:left="560" w:hanging="360"/>
      </w:pPr>
      <w:rPr>
        <w:rFonts w:ascii="Montserrat" w:cs="Montserrat" w:eastAsia="Montserrat" w:hAnsi="Montserrat"/>
        <w:b/>
        <w:bCs/>
        <w:color w:val="B8913A"/>
        <w:sz w:val="20"/>
        <w:szCs w:val="20"/>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2026-10-05T16:46:35.253Z</dcterms:created>
  <dcterms:modified xsi:type="dcterms:W3CDTF">2026-10-05T16:46:35.262Z</dcterms:modified>
</cp:coreProperties>
</file>

<file path=docProps/custom.xml><?xml version="1.0" encoding="utf-8"?>
<Properties xmlns="http://schemas.openxmlformats.org/officeDocument/2006/custom-properties" xmlns:vt="http://schemas.openxmlformats.org/officeDocument/2006/docPropsVTypes"/>
</file>