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Montserrat" w:cs="Montserrat" w:eastAsia="Montserrat" w:hAnsi="Montserrat"/>
          <w:b/>
          <w:bCs/>
          <w:color w:val="B8913A"/>
          <w:sz w:val="36"/>
          <w:szCs w:val="36"/>
        </w:rPr>
        <w:t xml:space="preserve">VisualAcademy</w:t>
      </w:r>
    </w:p>
    <w:p>
      <w:pPr>
        <w:pBdr>
          <w:bottom w:val="single" w:color="B8913A" w:sz="18" w:space="4"/>
        </w:pBdr>
        <w:spacing w:after="200"/>
      </w:pPr>
      <w:r>
        <w:rPr>
          <w:rFonts w:ascii="Cambria" w:cs="Cambria" w:eastAsia="Cambria" w:hAnsi="Cambria"/>
          <w:i/>
          <w:iCs/>
          <w:color w:val="555555"/>
          <w:sz w:val="18"/>
          <w:szCs w:val="18"/>
        </w:rPr>
        <w:t xml:space="preserve">entspannter – ausgeglichener – leistungsfähiger</w:t>
      </w:r>
    </w:p>
    <w:p>
      <w:pPr>
        <w:spacing w:after="40" w:before="120"/>
      </w:pPr>
      <w:r>
        <w:rPr>
          <w:rFonts w:ascii="Montserrat" w:cs="Montserrat" w:eastAsia="Montserrat" w:hAnsi="Montserrat"/>
          <w:color w:val="555555"/>
          <w:sz w:val="20"/>
          <w:szCs w:val="20"/>
        </w:rPr>
        <w:t xml:space="preserve">KURZSEMINAR · KOMPAKT</w:t>
      </w:r>
    </w:p>
    <w:p>
      <w:pPr>
        <w:spacing w:after="60"/>
      </w:pPr>
      <w:r>
        <w:rPr>
          <w:rFonts w:ascii="Montserrat" w:cs="Montserrat" w:eastAsia="Montserrat" w:hAnsi="Montserrat"/>
          <w:b/>
          <w:bCs/>
          <w:color w:val="2B2B2B"/>
          <w:sz w:val="42"/>
          <w:szCs w:val="42"/>
        </w:rPr>
        <w:t xml:space="preserve">Sehen. Erkennen. Reagieren.</w:t>
      </w:r>
    </w:p>
    <w:p>
      <w:pPr>
        <w:spacing w:after="200"/>
      </w:pPr>
      <w:r>
        <w:rPr>
          <w:rFonts w:ascii="Cambria" w:cs="Cambria" w:eastAsia="Cambria" w:hAnsi="Cambria"/>
          <w:color w:val="B8913A"/>
          <w:sz w:val="24"/>
          <w:szCs w:val="24"/>
        </w:rPr>
        <w:t xml:space="preserve">Dein Blick für mehr Sicherheit im Bauhof-Alltag</w:t>
      </w:r>
    </w:p>
    <w:tbl>
      <w:tblPr>
        <w:tblW w:type="dxa" w:w="92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398"/>
      </w:tblGrid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DDC" w:color="auto" w:val="clear"/>
            <w:tcMar>
              <w:top w:type="dxa" w:w="70"/>
              <w:left w:type="dxa" w:w="140"/>
              <w:bottom w:type="dxa" w:w="70"/>
              <w:right w:type="dxa" w:w="10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B8913A"/>
                <w:sz w:val="20"/>
                <w:szCs w:val="20"/>
              </w:rPr>
              <w:t xml:space="preserve">Dauer</w:t>
            </w:r>
          </w:p>
        </w:tc>
        <w:tc>
          <w:tcPr>
            <w:tcW w:type="dxa" w:w="73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200"/>
              <w:bottom w:type="dxa" w:w="70"/>
              <w:right w:type="dxa" w:w="100"/>
            </w:tcMar>
          </w:tcPr>
          <w:p>
            <w:r>
              <w:rPr>
                <w:rFonts w:ascii="Cambria" w:cs="Cambria" w:eastAsia="Cambria" w:hAnsi="Cambria"/>
                <w:color w:val="2B2B2B"/>
                <w:sz w:val="21"/>
                <w:szCs w:val="21"/>
              </w:rPr>
              <w:t xml:space="preserve">90 Minuten (während der Arbeitszeit)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DDC" w:color="auto" w:val="clear"/>
            <w:tcMar>
              <w:top w:type="dxa" w:w="70"/>
              <w:left w:type="dxa" w:w="140"/>
              <w:bottom w:type="dxa" w:w="70"/>
              <w:right w:type="dxa" w:w="10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B8913A"/>
                <w:sz w:val="20"/>
                <w:szCs w:val="20"/>
              </w:rPr>
              <w:t xml:space="preserve">Zielgruppe</w:t>
            </w:r>
          </w:p>
        </w:tc>
        <w:tc>
          <w:tcPr>
            <w:tcW w:type="dxa" w:w="73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200"/>
              <w:bottom w:type="dxa" w:w="70"/>
              <w:right w:type="dxa" w:w="100"/>
            </w:tcMar>
          </w:tcPr>
          <w:p>
            <w:r>
              <w:rPr>
                <w:rFonts w:ascii="Cambria" w:cs="Cambria" w:eastAsia="Cambria" w:hAnsi="Cambria"/>
                <w:color w:val="2B2B2B"/>
                <w:sz w:val="21"/>
                <w:szCs w:val="21"/>
              </w:rPr>
              <w:t xml:space="preserve">Beschäftigte des Bauhofs – Straßenreinigung, Grünpflege, Friedhof und Müllabfuhr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DDC" w:color="auto" w:val="clear"/>
            <w:tcMar>
              <w:top w:type="dxa" w:w="70"/>
              <w:left w:type="dxa" w:w="140"/>
              <w:bottom w:type="dxa" w:w="70"/>
              <w:right w:type="dxa" w:w="10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B8913A"/>
                <w:sz w:val="20"/>
                <w:szCs w:val="20"/>
              </w:rPr>
              <w:t xml:space="preserve">Format</w:t>
            </w:r>
          </w:p>
        </w:tc>
        <w:tc>
          <w:tcPr>
            <w:tcW w:type="dxa" w:w="73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200"/>
              <w:bottom w:type="dxa" w:w="70"/>
              <w:right w:type="dxa" w:w="100"/>
            </w:tcMar>
          </w:tcPr>
          <w:p>
            <w:r>
              <w:rPr>
                <w:rFonts w:ascii="Cambria" w:cs="Cambria" w:eastAsia="Cambria" w:hAnsi="Cambria"/>
                <w:color w:val="2B2B2B"/>
                <w:sz w:val="21"/>
                <w:szCs w:val="21"/>
              </w:rPr>
              <w:t xml:space="preserve">Praxisnaher Präsenz-Workshop mit kurzen Impulsen und Übungen in kleinen Gruppen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DDC" w:color="auto" w:val="clear"/>
            <w:tcMar>
              <w:top w:type="dxa" w:w="70"/>
              <w:left w:type="dxa" w:w="140"/>
              <w:bottom w:type="dxa" w:w="70"/>
              <w:right w:type="dxa" w:w="10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B8913A"/>
                <w:sz w:val="20"/>
                <w:szCs w:val="20"/>
              </w:rPr>
              <w:t xml:space="preserve">Bereich</w:t>
            </w:r>
          </w:p>
        </w:tc>
        <w:tc>
          <w:tcPr>
            <w:tcW w:type="dxa" w:w="73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200"/>
              <w:bottom w:type="dxa" w:w="70"/>
              <w:right w:type="dxa" w:w="100"/>
            </w:tcMar>
          </w:tcPr>
          <w:p>
            <w:r>
              <w:rPr>
                <w:rFonts w:ascii="Cambria" w:cs="Cambria" w:eastAsia="Cambria" w:hAnsi="Cambria"/>
                <w:color w:val="2B2B2B"/>
                <w:sz w:val="21"/>
                <w:szCs w:val="21"/>
              </w:rPr>
              <w:t xml:space="preserve">VisualAcademy – Arbeitssicherheit &amp; visuell-kognitives Training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DDC" w:color="auto" w:val="clear"/>
            <w:tcMar>
              <w:top w:type="dxa" w:w="70"/>
              <w:left w:type="dxa" w:w="140"/>
              <w:bottom w:type="dxa" w:w="70"/>
              <w:right w:type="dxa" w:w="10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B8913A"/>
                <w:sz w:val="20"/>
                <w:szCs w:val="20"/>
              </w:rPr>
              <w:t xml:space="preserve">Termin / Ort</w:t>
            </w:r>
          </w:p>
        </w:tc>
        <w:tc>
          <w:tcPr>
            <w:tcW w:type="dxa" w:w="73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200"/>
              <w:bottom w:type="dxa" w:w="70"/>
              <w:right w:type="dxa" w:w="100"/>
            </w:tcMar>
          </w:tcPr>
          <w:p>
            <w:r>
              <w:rPr>
                <w:rFonts w:ascii="Cambria" w:cs="Cambria" w:eastAsia="Cambria" w:hAnsi="Cambria"/>
                <w:color w:val="2B2B2B"/>
                <w:sz w:val="21"/>
                <w:szCs w:val="21"/>
              </w:rPr>
              <w:t xml:space="preserve">[Datum, Uhrzeit] · [Raum/Standort]</w:t>
            </w:r>
          </w:p>
        </w:tc>
      </w:tr>
    </w:tbl>
    <w:p>
      <w:pPr>
        <w:keepNext/>
        <w:pBdr>
          <w:bottom w:val="single" w:color="B8913A" w:sz="12" w:space="3"/>
        </w:pBdr>
        <w:spacing w:after="140" w:before="300"/>
      </w:pPr>
      <w:r>
        <w:rPr>
          <w:rFonts w:ascii="Montserrat" w:cs="Montserrat" w:eastAsia="Montserrat" w:hAnsi="Montserrat"/>
          <w:b/>
          <w:bCs/>
          <w:color w:val="B8913A"/>
          <w:sz w:val="27"/>
          <w:szCs w:val="27"/>
        </w:rPr>
        <w:t xml:space="preserve">Ausgangslage</w:t>
      </w:r>
    </w:p>
    <w:p>
      <w:pPr>
        <w:spacing w:after="140" w:line="290"/>
        <w:jc w:val="both"/>
      </w:pPr>
      <w:r>
        <w:rPr>
          <w:rFonts w:ascii="Cambria" w:cs="Cambria" w:eastAsia="Cambria" w:hAnsi="Cambria"/>
          <w:b/>
          <w:bCs/>
          <w:color w:val="2B2B2B"/>
          <w:sz w:val="21"/>
          <w:szCs w:val="21"/>
        </w:rPr>
        <w:t xml:space="preserve">Ein Auto, das zu schnell um die Ecke kommt. Ein Ast, der plötzlich nachgibt. Ein Kollege, der hinter dem Müllwagen hervortritt.</w:t>
      </w:r>
    </w:p>
    <w:p>
      <w:pPr>
        <w:spacing w:after="140" w:line="290"/>
        <w:jc w:val="both"/>
      </w:pPr>
      <w:r>
        <w:rPr>
          <w:rFonts w:ascii="Cambria" w:cs="Cambria" w:eastAsia="Cambria" w:hAnsi="Cambria"/>
          <w:color w:val="2B2B2B"/>
          <w:sz w:val="21"/>
          <w:szCs w:val="21"/>
        </w:rPr>
        <w:t xml:space="preserve">Gefährliche Situationen kündigen sich selten an. Wer sie früh sieht und sofort richtig reagiert, bleibt gesund – und genau das lässt sich trainieren. Im Leistungssport ist das seit Jahrzehnten Standard: Ein Torwart sieht den Ball, bevor der Schütze abzieht, ein Tennisprofi liest den Aufschlag, bevor der Ball den Schläger verlässt. Möglich macht das visuell-kognitives Training: Es schult Sehen, Verarbeiten und Reagieren.</w:t>
      </w:r>
    </w:p>
    <w:p>
      <w:pPr>
        <w:spacing w:after="140" w:line="290"/>
        <w:jc w:val="both"/>
      </w:pPr>
      <w:r>
        <w:rPr>
          <w:rFonts w:ascii="Cambria" w:cs="Cambria" w:eastAsia="Cambria" w:hAnsi="Cambria"/>
          <w:color w:val="2B2B2B"/>
          <w:sz w:val="21"/>
          <w:szCs w:val="21"/>
        </w:rPr>
        <w:t xml:space="preserve">Im Bauhof sind die Anforderungen ähnlich: Verkehr im Rücken, Maschinen und Werkzeuge, wechselndes Wetter, Zeitdruck. Dieses Kurzseminar holt das Training aus dem Stadion in den Arbeitsalltag.</w:t>
      </w:r>
    </w:p>
    <w:p>
      <w:pPr>
        <w:keepNext/>
        <w:pBdr>
          <w:bottom w:val="single" w:color="B8913A" w:sz="12" w:space="3"/>
        </w:pBdr>
        <w:spacing w:after="140" w:before="300"/>
      </w:pPr>
      <w:r>
        <w:rPr>
          <w:rFonts w:ascii="Montserrat" w:cs="Montserrat" w:eastAsia="Montserrat" w:hAnsi="Montserrat"/>
          <w:b/>
          <w:bCs/>
          <w:color w:val="B8913A"/>
          <w:sz w:val="27"/>
          <w:szCs w:val="27"/>
        </w:rPr>
        <w:t xml:space="preserve">Ziele</w:t>
      </w:r>
    </w:p>
    <w:p>
      <w:pPr>
        <w:spacing w:after="80"/>
        <w:jc w:val="both"/>
      </w:pPr>
      <w:r>
        <w:rPr>
          <w:rFonts w:ascii="Cambria" w:cs="Cambria" w:eastAsia="Cambria" w:hAnsi="Cambria"/>
          <w:color w:val="2B2B2B"/>
          <w:sz w:val="21"/>
          <w:szCs w:val="21"/>
        </w:rPr>
        <w:t xml:space="preserve">Die Teilnehmenden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mbria" w:cs="Cambria" w:eastAsia="Cambria" w:hAnsi="Cambria"/>
          <w:color w:val="2B2B2B"/>
          <w:sz w:val="21"/>
          <w:szCs w:val="21"/>
        </w:rPr>
        <w:t xml:space="preserve">verstehen, wie Sehen, Aufmerksamkeit und Reaktion zusammenhängen,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mbria" w:cs="Cambria" w:eastAsia="Cambria" w:hAnsi="Cambria"/>
          <w:color w:val="2B2B2B"/>
          <w:sz w:val="21"/>
          <w:szCs w:val="21"/>
        </w:rPr>
        <w:t xml:space="preserve">lernen Übungen aus dem Leistungssport kennen,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mbria" w:cs="Cambria" w:eastAsia="Cambria" w:hAnsi="Cambria"/>
          <w:color w:val="2B2B2B"/>
          <w:sz w:val="21"/>
          <w:szCs w:val="21"/>
        </w:rPr>
        <w:t xml:space="preserve">erkennen Gefahren im Arbeitsalltag früher,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mbria" w:cs="Cambria" w:eastAsia="Cambria" w:hAnsi="Cambria"/>
          <w:color w:val="2B2B2B"/>
          <w:sz w:val="21"/>
          <w:szCs w:val="21"/>
        </w:rPr>
        <w:t xml:space="preserve">reagieren in kritischen Situationen schneller und sicherer,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mbria" w:cs="Cambria" w:eastAsia="Cambria" w:hAnsi="Cambria"/>
          <w:color w:val="2B2B2B"/>
          <w:sz w:val="21"/>
          <w:szCs w:val="21"/>
        </w:rPr>
        <w:t xml:space="preserve">nehmen konkrete Übungen für den Berufsalltag mit.</w:t>
      </w:r>
    </w:p>
    <w:p>
      <w:pPr>
        <w:keepNext/>
        <w:pBdr>
          <w:bottom w:val="single" w:color="B8913A" w:sz="12" w:space="3"/>
        </w:pBdr>
        <w:spacing w:after="140" w:before="300"/>
      </w:pPr>
      <w:r>
        <w:rPr>
          <w:rFonts w:ascii="Montserrat" w:cs="Montserrat" w:eastAsia="Montserrat" w:hAnsi="Montserrat"/>
          <w:b/>
          <w:bCs/>
          <w:color w:val="B8913A"/>
          <w:sz w:val="27"/>
          <w:szCs w:val="27"/>
        </w:rPr>
        <w:t xml:space="preserve">Inhalte</w:t>
      </w:r>
    </w:p>
    <w:p>
      <w:pPr>
        <w:pStyle w:val="ListParagraph"/>
        <w:keepNext/>
        <w:numPr>
          <w:ilvl w:val="0"/>
          <w:numId w:val="3"/>
        </w:numPr>
        <w:spacing w:after="70" w:before="160"/>
      </w:pPr>
      <w:r>
        <w:rPr>
          <w:rFonts w:ascii="Montserrat" w:cs="Montserrat" w:eastAsia="Montserrat" w:hAnsi="Montserrat"/>
          <w:b/>
          <w:bCs/>
          <w:color w:val="2B2B2B"/>
          <w:sz w:val="22"/>
          <w:szCs w:val="22"/>
        </w:rPr>
        <w:t xml:space="preserve">Blick-Check (ca. 15 Min.)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mbria" w:cs="Cambria" w:eastAsia="Cambria" w:hAnsi="Cambria"/>
          <w:color w:val="2B2B2B"/>
          <w:sz w:val="21"/>
          <w:szCs w:val="21"/>
        </w:rPr>
        <w:t xml:space="preserve">Sehschärfe, Blickfeld und Reaktionszeit im Kurztest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mbria" w:cs="Cambria" w:eastAsia="Cambria" w:hAnsi="Cambria"/>
          <w:color w:val="2B2B2B"/>
          <w:sz w:val="21"/>
          <w:szCs w:val="21"/>
        </w:rPr>
        <w:t xml:space="preserve">Überraschende Erkenntnisse über die eigene Wahrnehmung</w:t>
      </w:r>
    </w:p>
    <w:p>
      <w:pPr>
        <w:pStyle w:val="ListParagraph"/>
        <w:keepNext/>
        <w:numPr>
          <w:ilvl w:val="0"/>
          <w:numId w:val="3"/>
        </w:numPr>
        <w:spacing w:after="70" w:before="160"/>
      </w:pPr>
      <w:r>
        <w:rPr>
          <w:rFonts w:ascii="Montserrat" w:cs="Montserrat" w:eastAsia="Montserrat" w:hAnsi="Montserrat"/>
          <w:b/>
          <w:bCs/>
          <w:color w:val="2B2B2B"/>
          <w:sz w:val="22"/>
          <w:szCs w:val="22"/>
        </w:rPr>
        <w:t xml:space="preserve">Augen auf die Umgebung (ca. 25 Min.)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mbria" w:cs="Cambria" w:eastAsia="Cambria" w:hAnsi="Cambria"/>
          <w:color w:val="2B2B2B"/>
          <w:sz w:val="21"/>
          <w:szCs w:val="21"/>
        </w:rPr>
        <w:t xml:space="preserve">Randsicht und Bewegungen früh erkennen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mbria" w:cs="Cambria" w:eastAsia="Cambria" w:hAnsi="Cambria"/>
          <w:color w:val="2B2B2B"/>
          <w:sz w:val="21"/>
          <w:szCs w:val="21"/>
        </w:rPr>
        <w:t xml:space="preserve">Blickwechsel zwischen nah und fern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mbria" w:cs="Cambria" w:eastAsia="Cambria" w:hAnsi="Cambria"/>
          <w:color w:val="2B2B2B"/>
          <w:sz w:val="21"/>
          <w:szCs w:val="21"/>
        </w:rPr>
        <w:t xml:space="preserve">Aufmerksam bleiben, auch bei konzentrierter Arbeit</w:t>
      </w:r>
    </w:p>
    <w:p>
      <w:pPr>
        <w:pStyle w:val="ListParagraph"/>
        <w:keepNext/>
        <w:numPr>
          <w:ilvl w:val="0"/>
          <w:numId w:val="3"/>
        </w:numPr>
        <w:spacing w:after="70" w:before="160"/>
      </w:pPr>
      <w:r>
        <w:rPr>
          <w:rFonts w:ascii="Montserrat" w:cs="Montserrat" w:eastAsia="Montserrat" w:hAnsi="Montserrat"/>
          <w:b/>
          <w:bCs/>
          <w:color w:val="2B2B2B"/>
          <w:sz w:val="22"/>
          <w:szCs w:val="22"/>
        </w:rPr>
        <w:t xml:space="preserve">Schnell reagieren (ca. 25 Min.)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mbria" w:cs="Cambria" w:eastAsia="Cambria" w:hAnsi="Cambria"/>
          <w:color w:val="2B2B2B"/>
          <w:sz w:val="21"/>
          <w:szCs w:val="21"/>
        </w:rPr>
        <w:t xml:space="preserve">Reaktions- und Konzentrationsübungen allein, zu zweit und in der Gruppe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mbria" w:cs="Cambria" w:eastAsia="Cambria" w:hAnsi="Cambria"/>
          <w:color w:val="2B2B2B"/>
          <w:sz w:val="21"/>
          <w:szCs w:val="21"/>
        </w:rPr>
        <w:t xml:space="preserve">Den Überblick behalten bei Lärm und Ablenkung</w:t>
      </w:r>
    </w:p>
    <w:p>
      <w:pPr>
        <w:pStyle w:val="ListParagraph"/>
        <w:keepNext/>
        <w:numPr>
          <w:ilvl w:val="0"/>
          <w:numId w:val="3"/>
        </w:numPr>
        <w:spacing w:after="70" w:before="160"/>
      </w:pPr>
      <w:r>
        <w:rPr>
          <w:rFonts w:ascii="Montserrat" w:cs="Montserrat" w:eastAsia="Montserrat" w:hAnsi="Montserrat"/>
          <w:b/>
          <w:bCs/>
          <w:color w:val="2B2B2B"/>
          <w:sz w:val="22"/>
          <w:szCs w:val="22"/>
        </w:rPr>
        <w:t xml:space="preserve">Gefahrensituationen aus dem Alltag (ca. 15 Min.)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mbria" w:cs="Cambria" w:eastAsia="Cambria" w:hAnsi="Cambria"/>
          <w:color w:val="2B2B2B"/>
          <w:sz w:val="21"/>
          <w:szCs w:val="21"/>
        </w:rPr>
        <w:t xml:space="preserve">Typische Situationen: Verkehr, Rückwärtsfahren, Arbeiten am Hang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mbria" w:cs="Cambria" w:eastAsia="Cambria" w:hAnsi="Cambria"/>
          <w:color w:val="2B2B2B"/>
          <w:sz w:val="21"/>
          <w:szCs w:val="21"/>
        </w:rPr>
        <w:t xml:space="preserve">Hitze und Müdigkeit – wie sie Sehen und Reaktion beeinflussen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mbria" w:cs="Cambria" w:eastAsia="Cambria" w:hAnsi="Cambria"/>
          <w:color w:val="2B2B2B"/>
          <w:sz w:val="21"/>
          <w:szCs w:val="21"/>
        </w:rPr>
        <w:t xml:space="preserve">Ruhig und richtig handeln</w:t>
      </w:r>
    </w:p>
    <w:p>
      <w:pPr>
        <w:pStyle w:val="ListParagraph"/>
        <w:keepNext/>
        <w:numPr>
          <w:ilvl w:val="0"/>
          <w:numId w:val="3"/>
        </w:numPr>
        <w:spacing w:after="70" w:before="160"/>
      </w:pPr>
      <w:r>
        <w:rPr>
          <w:rFonts w:ascii="Montserrat" w:cs="Montserrat" w:eastAsia="Montserrat" w:hAnsi="Montserrat"/>
          <w:b/>
          <w:bCs/>
          <w:color w:val="2B2B2B"/>
          <w:sz w:val="22"/>
          <w:szCs w:val="22"/>
        </w:rPr>
        <w:t xml:space="preserve">Dein Alltags-Training (ca. 10 Min.)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mbria" w:cs="Cambria" w:eastAsia="Cambria" w:hAnsi="Cambria"/>
          <w:color w:val="2B2B2B"/>
          <w:sz w:val="21"/>
          <w:szCs w:val="21"/>
        </w:rPr>
        <w:t xml:space="preserve">Kurze Übungen für Pause, Fahrzeug und zu Hause</w:t>
      </w:r>
    </w:p>
    <w:p>
      <w:pPr>
        <w:keepNext/>
        <w:pBdr>
          <w:bottom w:val="single" w:color="B8913A" w:sz="12" w:space="3"/>
        </w:pBdr>
        <w:spacing w:after="140" w:before="300"/>
      </w:pPr>
      <w:r>
        <w:rPr>
          <w:rFonts w:ascii="Montserrat" w:cs="Montserrat" w:eastAsia="Montserrat" w:hAnsi="Montserrat"/>
          <w:b/>
          <w:bCs/>
          <w:color w:val="B8913A"/>
          <w:sz w:val="27"/>
          <w:szCs w:val="27"/>
        </w:rPr>
        <w:t xml:space="preserve">Methodik</w:t>
      </w:r>
    </w:p>
    <w:p>
      <w:pPr>
        <w:spacing w:after="140" w:line="290"/>
        <w:jc w:val="both"/>
      </w:pPr>
      <w:r>
        <w:rPr>
          <w:rFonts w:ascii="Cambria" w:cs="Cambria" w:eastAsia="Cambria" w:hAnsi="Cambria"/>
          <w:color w:val="2B2B2B"/>
          <w:sz w:val="21"/>
          <w:szCs w:val="21"/>
        </w:rPr>
        <w:t xml:space="preserve">Kurze, verständliche Impulse im Wechsel mit praktischen Seh-, Reaktions- und Konzentrationsübungen. Das Seminar ist bewusst aktivierend und alltagsnah gestaltet – ohne Vorkenntnisse, ohne Frontalvortrag, mit Übungen, die sich direkt im Berufsalltag anwenden lassen. Bequeme Kleidung genügt; wer eine Brille trägt, bringt sie mit.</w:t>
      </w:r>
    </w:p>
    <w:p>
      <w:pPr>
        <w:keepNext/>
        <w:pBdr>
          <w:bottom w:val="single" w:color="B8913A" w:sz="12" w:space="3"/>
        </w:pBdr>
        <w:spacing w:after="140" w:before="300"/>
      </w:pPr>
      <w:r>
        <w:rPr>
          <w:rFonts w:ascii="Montserrat" w:cs="Montserrat" w:eastAsia="Montserrat" w:hAnsi="Montserrat"/>
          <w:b/>
          <w:bCs/>
          <w:color w:val="B8913A"/>
          <w:sz w:val="27"/>
          <w:szCs w:val="27"/>
        </w:rPr>
        <w:t xml:space="preserve">Dein Nutzen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mbria" w:cs="Cambria" w:eastAsia="Cambria" w:hAnsi="Cambria"/>
          <w:color w:val="2B2B2B"/>
          <w:sz w:val="21"/>
          <w:szCs w:val="21"/>
        </w:rPr>
        <w:t xml:space="preserve">Bessere Konzentration – auch bei Routinearbeit und am Ende eines langen Tages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mbria" w:cs="Cambria" w:eastAsia="Cambria" w:hAnsi="Cambria"/>
          <w:color w:val="2B2B2B"/>
          <w:sz w:val="21"/>
          <w:szCs w:val="21"/>
        </w:rPr>
        <w:t xml:space="preserve">Gefahren früher erkennen, schneller und sicherer reagieren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mbria" w:cs="Cambria" w:eastAsia="Cambria" w:hAnsi="Cambria"/>
          <w:color w:val="2B2B2B"/>
          <w:sz w:val="21"/>
          <w:szCs w:val="21"/>
        </w:rPr>
        <w:t xml:space="preserve">Schonung der Augen und mehr Klarheit, wann ein Sehtest sinnvoll ist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mbria" w:cs="Cambria" w:eastAsia="Cambria" w:hAnsi="Cambria"/>
          <w:color w:val="2B2B2B"/>
          <w:sz w:val="21"/>
          <w:szCs w:val="21"/>
        </w:rPr>
        <w:t xml:space="preserve">Mehr Sicherheit – bei der Arbeit und im Privatleben</w:t>
      </w:r>
    </w:p>
    <w:p>
      <w:pPr>
        <w:keepNext/>
        <w:pBdr>
          <w:bottom w:val="single" w:color="B8913A" w:sz="12" w:space="3"/>
        </w:pBdr>
        <w:spacing w:after="140" w:before="300"/>
      </w:pPr>
      <w:r>
        <w:rPr>
          <w:rFonts w:ascii="Montserrat" w:cs="Montserrat" w:eastAsia="Montserrat" w:hAnsi="Montserrat"/>
          <w:b/>
          <w:bCs/>
          <w:color w:val="B8913A"/>
          <w:sz w:val="27"/>
          <w:szCs w:val="27"/>
        </w:rPr>
        <w:t xml:space="preserve">Jetzt anmelden</w:t>
      </w:r>
    </w:p>
    <w:p>
      <w:pPr>
        <w:spacing w:after="140" w:line="290"/>
        <w:jc w:val="both"/>
      </w:pPr>
      <w:r>
        <w:rPr>
          <w:rFonts w:ascii="Cambria" w:cs="Cambria" w:eastAsia="Cambria" w:hAnsi="Cambria"/>
          <w:b/>
          <w:bCs/>
          <w:color w:val="2B2B2B"/>
          <w:sz w:val="21"/>
          <w:szCs w:val="21"/>
        </w:rPr>
        <w:t xml:space="preserve">Gute Augen und schnelle Reaktionen sind kein Luxus, sie sind dein bester Arbeitsschutz. </w:t>
      </w:r>
      <w:r>
        <w:rPr>
          <w:rFonts w:ascii="Cambria" w:cs="Cambria" w:eastAsia="Cambria" w:hAnsi="Cambria"/>
          <w:color w:val="2B2B2B"/>
          <w:sz w:val="21"/>
          <w:szCs w:val="21"/>
        </w:rPr>
        <w:t xml:space="preserve">Sichere dir deinen Platz, die Gruppen sind klein: Sprich deine Vorarbeiterin oder deinen Vorarbeiter an, trag dich in die Liste im Aufenthaltsraum ein oder melde dich direkt unter [Ansprechperson / Kontakt / Anmeldefrist einfügen]. Bring Kolleginnen und Kollegen mit – wer zusammen trainiert, passt auch im Alltag besser aufeinander auf.</w:t>
      </w:r>
    </w:p>
    <w:p>
      <w:pPr>
        <w:pBdr>
          <w:top w:val="single" w:color="B8913A" w:sz="12" w:space="6"/>
        </w:pBdr>
        <w:spacing w:after="40" w:before="300"/>
      </w:pPr>
      <w:r>
        <w:rPr>
          <w:rFonts w:ascii="Montserrat" w:cs="Montserrat" w:eastAsia="Montserrat" w:hAnsi="Montserrat"/>
          <w:b/>
          <w:bCs/>
          <w:color w:val="B8913A"/>
          <w:sz w:val="20"/>
          <w:szCs w:val="20"/>
        </w:rPr>
        <w:t xml:space="preserve">VisualAcademy GbR</w:t>
      </w:r>
    </w:p>
    <w:p>
      <w:r>
        <w:rPr>
          <w:rFonts w:ascii="Cambria" w:cs="Cambria" w:eastAsia="Cambria" w:hAnsi="Cambria"/>
          <w:color w:val="555555"/>
          <w:sz w:val="16"/>
          <w:szCs w:val="16"/>
        </w:rPr>
        <w:t xml:space="preserve">Betriebliche Gesundheitsförderung · Resilienz · Stressmanagement  |  www.visualacademy.de</w:t>
      </w:r>
    </w:p>
    <w:sectPr>
      <w:pgSz w:w="11906" w:h="16838" w:orient="portrait"/>
      <w:pgMar w:top="1304" w:right="1304" w:bottom="1134" w:left="130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0" w:hanging="300"/>
      </w:pPr>
      <w:rPr>
        <w:rFonts w:ascii="Cambria" w:cs="Cambria" w:eastAsia="Cambria" w:hAnsi="Cambria"/>
        <w:color w:val="B8913A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280" w:hanging="280"/>
      </w:pPr>
      <w:rPr>
        <w:rFonts w:ascii="Arial" w:cs="Arial" w:eastAsia="Arial" w:hAnsi="Arial"/>
        <w:color w:val="B8913A"/>
        <w:sz w:val="18"/>
        <w:szCs w:val="1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60"/>
      </w:pPr>
      <w:rPr>
        <w:rFonts w:ascii="Montserrat" w:cs="Montserrat" w:eastAsia="Montserrat" w:hAnsi="Montserrat"/>
        <w:b/>
        <w:bCs/>
        <w:color w:val="B8913A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2026-10-04T17:52:37.748Z</dcterms:created>
  <dcterms:modified xsi:type="dcterms:W3CDTF">2026-10-04T17:52:37.750Z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