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59395" w:sz="12"/>
        </w:pBdr>
        <w:spacing w:after="0" w:before="0"/>
      </w:pPr>
      <w:r>
        <w:rPr>
          <w:rFonts w:ascii="Aptos Display" w:cs="Aptos Display" w:eastAsia="Aptos Display" w:hAnsi="Aptos Display"/>
          <w:b/>
          <w:bCs/>
          <w:color w:val="8496A9"/>
          <w:sz w:val="20"/>
          <w:szCs w:val="20"/>
        </w:rPr>
        <w:t xml:space="preserve">OPENSITY SOLUTIONS  |  EBS Practice  —  GRSS AI DocFlow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ptos Display" w:cs="Aptos Display" w:eastAsia="Aptos Display" w:hAnsi="Aptos Display"/>
          <w:b/>
          <w:bCs/>
          <w:color w:val="17283C"/>
          <w:sz w:val="40"/>
          <w:szCs w:val="40"/>
        </w:rPr>
        <w:t xml:space="preserve">POC Sample Documents — Error Guide</w:t>
      </w:r>
    </w:p>
    <w:p>
      <w:pPr>
        <w:spacing w:after="60" w:before="0"/>
      </w:pPr>
      <w:r>
        <w:rPr>
          <w:rFonts w:ascii="Aptos Display" w:cs="Aptos Display" w:eastAsia="Aptos Display" w:hAnsi="Aptos Display"/>
          <w:color w:val="459395"/>
          <w:sz w:val="26"/>
          <w:szCs w:val="26"/>
        </w:rPr>
        <w:t xml:space="preserve">All 4 variants  |  20 intentional errors  |  For Kanerika POC use</w:t>
      </w:r>
    </w:p>
    <w:p>
      <w:pPr>
        <w:spacing w:after="240" w:before="0"/>
      </w:pPr>
      <w:r>
        <w:rPr>
          <w:rFonts w:ascii="Aptos Display" w:cs="Aptos Display" w:eastAsia="Aptos Display" w:hAnsi="Aptos Display"/>
          <w:color w:val="8496A9"/>
          <w:sz w:val="20"/>
          <w:szCs w:val="20"/>
        </w:rPr>
        <w:t xml:space="preserve">Prepared by: Thomas Baker, EBS PM    |    May 2026    |    Confidential — Internal Use Only</w:t>
      </w:r>
    </w:p>
    <w:p>
      <w:pPr>
        <w:pBdr>
          <w:bottom w:val="single" w:color="459395" w:sz="4"/>
        </w:pBdr>
        <w:spacing w:after="120" w:before="360"/>
      </w:pPr>
      <w:r>
        <w:rPr>
          <w:rFonts w:ascii="Aptos Display" w:cs="Aptos Display" w:eastAsia="Aptos Display" w:hAnsi="Aptos Display"/>
          <w:b/>
          <w:bCs/>
          <w:color w:val="17283C"/>
          <w:sz w:val="28"/>
          <w:szCs w:val="28"/>
        </w:rPr>
        <w:t xml:space="preserve">1.  Overview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ptos Display" w:cs="Aptos Display" w:eastAsia="Aptos Display" w:hAnsi="Aptos Display"/>
          <w:color w:val="333333"/>
          <w:sz w:val="22"/>
          <w:szCs w:val="22"/>
        </w:rPr>
        <w:t xml:space="preserve">This guide covers all four POC document variant pairs. For each variant, Document A contains 5 intentional formatting errors drawn from Opensity’s 18-rule QC checklist. Document B is a correctly formatted reference document. Errors are distributed across Rules 1–8 of the checklist to ensure broad coverage of Track 1 (Formatting &amp; Style) detection capability.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 A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Rules 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DocA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Rules 1, 4, 5, 7,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DocA2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Rules 1, 2, 5, 6,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DocA3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Rules 1, 4, 5, 7,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DocA4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Rules 1, 2, 4, 5,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All variants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A1–A4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20 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Rules 1, 2, 4, 5, 6, 7, 8 covered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459395" w:sz="4"/>
        </w:pBdr>
        <w:spacing w:after="120" w:before="360"/>
      </w:pPr>
      <w:r>
        <w:rPr>
          <w:rFonts w:ascii="Aptos Display" w:cs="Aptos Display" w:eastAsia="Aptos Display" w:hAnsi="Aptos Display"/>
          <w:b/>
          <w:bCs/>
          <w:color w:val="17283C"/>
          <w:sz w:val="28"/>
          <w:szCs w:val="28"/>
        </w:rPr>
        <w:t xml:space="preserve">2.  Error Detail by Variant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ptos Display" w:cs="Aptos Display" w:eastAsia="Aptos Display" w:hAnsi="Aptos Display"/>
          <w:color w:val="333333"/>
          <w:sz w:val="22"/>
          <w:szCs w:val="22"/>
        </w:rPr>
        <w:t xml:space="preserve">The AI engine must detect all five errors in each Document A for the POC to meet success criteria. Each table below maps errors to their QC checklist rule, AI engine track, exact location in the document, and the specific finding expected.</w:t>
      </w:r>
    </w:p>
    <w:p>
      <w:pPr>
        <w:spacing w:after="40" w:before="0"/>
      </w:pPr>
      <w:r>
        <w:t xml:space="preserve"/>
      </w:r>
    </w:p>
    <w:p>
      <w:pPr>
        <w:spacing w:after="80" w:before="240"/>
      </w:pPr>
      <w:r>
        <w:rPr>
          <w:rFonts w:ascii="Aptos Display" w:cs="Aptos Display" w:eastAsia="Aptos Display" w:hAnsi="Aptos Display"/>
          <w:b/>
          <w:bCs/>
          <w:color w:val="459395"/>
          <w:sz w:val="24"/>
          <w:szCs w:val="24"/>
        </w:rPr>
        <w:t xml:space="preserve">Variant 1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A — With Errors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B — Clean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POC_DocA_MotionToDismiss_WithErrors.docx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POC_DocB_Complaint_Clean.docx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Case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Acme Corporation v. Global Tech Solutions, Inc. — C.D. Cal., Motion to Dismiss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Sunrise Ventures LLC v. Meridian Holdings, Inc. — S.D. Cal., Complaint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20"/>
        <w:gridCol w:w="216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Location in Doc 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5 — Period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Notice of Motion, paragraph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“granted.This Motion is based…” — zero space after period; should be two spaces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4 — Quotation mark 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Introduction, paragraph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Opening quote is curly (“) but closing quote on “Agreement” is straight ("). Mixed styles in same sentence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8 — Section symbol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Statement of Facts, paragraph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§17200 and §1709 — no space after §; should read § 17200 and § 1709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1 — Font 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Footnotes 1 and 2 (foot of page)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Footnote text at 12pt; should be 10pt. Body is 12pt — footnotes must be smaller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7 — Heading format / orphan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heading “V. CONCLUSION” before page break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Heading has keepNext disabled; appears alone at page bottom with conclusion text on next page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80" w:before="240"/>
      </w:pPr>
      <w:r>
        <w:rPr>
          <w:rFonts w:ascii="Aptos Display" w:cs="Aptos Display" w:eastAsia="Aptos Display" w:hAnsi="Aptos Display"/>
          <w:b/>
          <w:bCs/>
          <w:color w:val="459395"/>
          <w:sz w:val="24"/>
          <w:szCs w:val="24"/>
        </w:rPr>
        <w:t xml:space="preserve">Variant 2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A — With Errors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B — Clean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POC_DocA2_Answer_WithErrors.docx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POC_DocB2_SummaryJudgment_Clean.docx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Case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Redwood Systems Corp. v. Pinnacle Analytics Group — N.D. Cal., Answer &amp; Affirmative Defenses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Redwood Systems Corp. v. Pinnacle Analytics Group — N.D. Cal., Motion for Summary Judgment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20"/>
        <w:gridCol w:w="216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Location in Doc 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2 — Paragraph &amp; line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 (General Admissions), all 10 admission paragraphs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Spacing is exactly 12pt (single-spaced) instead of required exactly 24pt. Entire admissions block is affected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6 — Paragraph justification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II intro paragraph (“Defendant asserts the following…”)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Paragraph is LEFT-aligned instead of justified. All body paragraphs should be fully justified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1 — Font size inconsistency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Third Affirmative Defense paragraph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Body text at 14pt instead of 12pt. Font is still Times New Roman but size is wrong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5 — Period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Fifth Affirmative Defense, sentence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“damages.Plaintiff was informed…” — no space after period; should be two spaces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8 — Section symbol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Seventh Affirmative Defense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§1782 and §17200 — no space after § symbol; should read § 1782 and § 17200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80" w:before="240"/>
      </w:pPr>
      <w:r>
        <w:rPr>
          <w:rFonts w:ascii="Aptos Display" w:cs="Aptos Display" w:eastAsia="Aptos Display" w:hAnsi="Aptos Display"/>
          <w:b/>
          <w:bCs/>
          <w:color w:val="459395"/>
          <w:sz w:val="24"/>
          <w:szCs w:val="24"/>
        </w:rPr>
        <w:t xml:space="preserve">Variant 3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A — With Errors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B — Clean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POC_DocA3_PrelimInjunction_WithErrors.docx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POC_DocB3_Opposition_Clean.docx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Case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Crestview Biosciences v. Nexogen Pharmaceuticals — D. Del., Motion for TRO &amp; Preliminary Injunction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Crestview Biosciences v. Nexogen Pharmaceuticals — D. Del., Opposition to Motion to Dismiss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20"/>
        <w:gridCol w:w="216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Location in Doc 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4 — Quotation mark 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Introduction, closing of “License Agreement” reference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Curly open (“) with straight close (") on the same quoted term. Font of closing quote is straight ASCII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1 — Font 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Statement of Facts, paragraph 2 (exclusivity clause paragraph)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Entire paragraph is Arial instead of Times New Roman. Font changes mid-document without justification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8 — Section symbol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Statement of Facts, paragraph 3 (§7(b), §12(a), §2001)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Three § symbols with no space before their section numbers; all should have one space after §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5 — Period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Statement of Facts, paragraph 4 (“demand” sentence)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“demand on Nexogen on March 18, 2026.Nexogen has not responded…” — no space after period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7 — Heading format / orphan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“IV. CONCLUSION” heading before page break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keepNext disabled on heading; heading sits alone at page bottom. Conclusion paragraph begins on next page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80" w:before="240"/>
      </w:pPr>
      <w:r>
        <w:rPr>
          <w:rFonts w:ascii="Aptos Display" w:cs="Aptos Display" w:eastAsia="Aptos Display" w:hAnsi="Aptos Display"/>
          <w:b/>
          <w:bCs/>
          <w:color w:val="459395"/>
          <w:sz w:val="24"/>
          <w:szCs w:val="24"/>
        </w:rPr>
        <w:t xml:space="preserve">Variant 4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A — With Errors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 B — Clean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POC_DocA4_Mandate_WithErrors.docx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POC_DocB4_Stipulation_Clean.docx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17283C"/>
                <w:sz w:val="20"/>
                <w:szCs w:val="20"/>
              </w:rPr>
              <w:t xml:space="preserve">Case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Halcyon Development Partners v. LA County Dept. of Regional Planning — LA Superior Court, Petition for Writ of Mandate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Halcyon Development Partners v. LA County Dept. of Regional Planning — LA Superior Court, Stipulation &amp; Proposed Consent Order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20"/>
        <w:gridCol w:w="216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Location in Doc 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2 — Paragraph &amp; line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 (Introduction), paragraphs 1–3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Three paragraphs set to exactly 12pt (single-spaced) instead of exactly 24pt. The rest of the document is correctly 24pt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5 — Period spacing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II, paragraph 2 (Respondent identification)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“…subject of this Petition.The Department’s new decision…” — no space after period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6 — Paragraph justification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III, paragraph 2 (General Plan consistency analysis paragraph)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Paragraph is LEFT-aligned instead of justified. Only this paragraph is affected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4 — Quotation mark 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III, denial findings quote (“inconsistent with open space”)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Opens with curly (“), closes with straight (") on the quoted denial language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Rule 1 — Font size inconsistency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Track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Section IV sub-heading (“IV. Grounds for Writ Relief”)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19"/>
                <w:szCs w:val="19"/>
              </w:rPr>
              <w:t xml:space="preserve">Sub-heading is 14pt bold underline instead of 12pt. Body text remains 12pt throughout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459395" w:sz="4"/>
        </w:pBdr>
        <w:spacing w:after="120" w:before="360"/>
      </w:pPr>
      <w:r>
        <w:rPr>
          <w:rFonts w:ascii="Aptos Display" w:cs="Aptos Display" w:eastAsia="Aptos Display" w:hAnsi="Aptos Display"/>
          <w:b/>
          <w:bCs/>
          <w:color w:val="17283C"/>
          <w:sz w:val="28"/>
          <w:szCs w:val="28"/>
        </w:rPr>
        <w:t xml:space="preserve">3.  Clean Documents (B1–B4) — Acceptable Warnings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ptos Display" w:cs="Aptos Display" w:eastAsia="Aptos Display" w:hAnsi="Aptos Display"/>
          <w:color w:val="333333"/>
          <w:sz w:val="22"/>
          <w:szCs w:val="22"/>
        </w:rPr>
        <w:t xml:space="preserve">All four Document B files are correctly formatted. The following items may legitimately produce warnings rather than failures across any of the four clean documents. These are not errors — they reflect inherent limits of plain-text or non-rendered analysis.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Acceptable Warning (Not a Failure)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 3 — Margins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Exact margin values (in inches) cannot be verified from extracted text. A warning is acceptable; a failure is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 2 — Exact line spacing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24pt exact spacing is set in document XML. If the AI cannot verify from rendered output, a warning is acceptable.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 14 — Page numbering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First page has no number; subsequent pages numbered via footer. If the AI cannot inspect footer fields, a warning is acceptable.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Rule 9 — Line numbers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These documents use US District Court or California Superior Court format, which does not require numbered lines. No violation expected; AI should not flag as an error.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459395" w:sz="4"/>
        </w:pBdr>
        <w:spacing w:after="120" w:before="360"/>
      </w:pPr>
      <w:r>
        <w:rPr>
          <w:rFonts w:ascii="Aptos Display" w:cs="Aptos Display" w:eastAsia="Aptos Display" w:hAnsi="Aptos Display"/>
          <w:b/>
          <w:bCs/>
          <w:color w:val="17283C"/>
          <w:sz w:val="28"/>
          <w:szCs w:val="28"/>
        </w:rPr>
        <w:t xml:space="preserve">4.  Dummy Data Reference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ptos Display" w:cs="Aptos Display" w:eastAsia="Aptos Display" w:hAnsi="Aptos Display"/>
          <w:color w:val="333333"/>
          <w:sz w:val="22"/>
          <w:szCs w:val="22"/>
        </w:rPr>
        <w:t xml:space="preserve">All parties, attorneys, judges, case numbers, and facts in every document are entirely fictitious. This table is provided for quick reference.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40"/>
        <w:gridCol w:w="1600"/>
        <w:gridCol w:w="800"/>
        <w:gridCol w:w="1360"/>
        <w:gridCol w:w="13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Plaintiff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Defendant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Court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Case No.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Judge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8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Counsel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1 — Doc 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Acme Corporation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Global Tech Solutions, Inc.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C.D. Cal.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2:26-cv-04821-JFW-KS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Hon. John F. Walter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Margaret L. Hartley, Hartley Brennan &amp; Cross LLP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1 — Doc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Sunrise Ventures LLC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Meridian Holdings, Inc.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S.D. Cal.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3:26-cv-02314-DMS-BLM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Hon. Dana M. Sabraw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Priya K. Patel, Nguyen Patel &amp; Associates LLP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2 — Doc A/B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Redwood Systems Corp.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Pinnacle Analytics 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N.D. Cal.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5:26-cv-01177-EJD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Hon. Edward J. Davila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Carlos R. Delgado, Delgado OHara &amp; Pierce LLP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3 — Doc A/B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Crestview Biosciences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Nexogen Pharmaceuticals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D. Del.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1:26-cv-00892-RGA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Hon. Richard G. Andrews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Diana L. Whitfield, Kellerman Strauss &amp; Whitfield LLP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Variant 4 — Doc A/B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Halcyon Development 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LA County Dept. of Regional Planning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LA Superior Court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26STCP02891, Dept. 86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N/A (State Court)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Display" w:cs="Aptos Display" w:eastAsia="Aptos Display" w:hAnsi="Aptos Display"/>
                <w:color w:val="333333"/>
                <w:sz w:val="20"/>
                <w:szCs w:val="20"/>
              </w:rPr>
              <w:t xml:space="preserve">Adaeze F. Okonkwo, Vance Morales &amp; Okonkwo LLP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459395" w:sz="4"/>
        </w:pBdr>
        <w:spacing w:after="0" w:before="120"/>
      </w:pPr>
      <w:r>
        <w:rPr>
          <w:rFonts w:ascii="Aptos Display" w:cs="Aptos Display" w:eastAsia="Aptos Display" w:hAnsi="Aptos Display"/>
          <w:i/>
          <w:iCs/>
          <w:color w:val="8496A9"/>
          <w:sz w:val="18"/>
          <w:szCs w:val="18"/>
        </w:rPr>
        <w:t xml:space="preserve">This document is confidential and intended for internal EBS/Opensity and Kanerika POC use only.  © 2026 Opensity Solutions  |  EBS Practice  |  May 2026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9395" w:sz="4"/>
      </w:pBdr>
      <w:tabs>
        <w:tab w:val="center" w:pos="4680"/>
        <w:tab w:val="right" w:pos="9360"/>
      </w:tabs>
      <w:spacing w:before="100"/>
    </w:pPr>
    <w:r>
      <w:rPr>
        <w:rFonts w:ascii="Aptos Display" w:cs="Aptos Display" w:eastAsia="Aptos Display" w:hAnsi="Aptos Display"/>
        <w:color w:val="8496A9"/>
        <w:sz w:val="18"/>
        <w:szCs w:val="18"/>
      </w:rPr>
      <w:t xml:space="preserve">OS  |  Confidential &amp; Proprietary</w:t>
    </w:r>
    <w:r>
      <w:rPr>
        <w:rFonts w:ascii="Aptos Display" w:cs="Aptos Display" w:eastAsia="Aptos Display" w:hAnsi="Aptos Display"/>
        <w:color w:val="8496A9"/>
        <w:sz w:val="18"/>
        <w:szCs w:val="18"/>
      </w:rPr>
      <w:t xml:space="preserve">	POC Sample Documents — Error Guide	</w:t>
    </w:r>
    <w:r>
      <w:rPr>
        <w:rFonts w:ascii="Aptos Display" w:cs="Aptos Display" w:eastAsia="Aptos Display" w:hAnsi="Aptos Display"/>
        <w:color w:val="8496A9"/>
        <w:sz w:val="18"/>
        <w:szCs w:val="18"/>
      </w:rPr>
      <w:t xml:space="preserve">Page </w:t>
    </w:r>
    <w:r>
      <w:rPr>
        <w:rFonts w:ascii="Aptos Display" w:cs="Aptos Display" w:eastAsia="Aptos Display" w:hAnsi="Aptos Display"/>
        <w:color w:val="8496A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2026-05-28T20:02:46.099Z</dcterms:created>
  <dcterms:modified xsi:type="dcterms:W3CDTF">2026-05-28T20:02:46.099Z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