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AI-based Network Attack Forecasting from Network Traffic Data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A6B87"/>
          <w:sz w:val="18"/>
          <w:szCs w:val="18"/>
        </w:rPr>
        <w:t xml:space="preserve">Problem Statement 26153  ·  National Technical Research Organisation (NTRO)  ·  Smart India Hackathon 2026  ·  Architecture Document</w:t>
      </w:r>
    </w:p>
    <w:p>
      <w:pPr>
        <w:pStyle w:val="Heading2"/>
        <w:spacing w:after="90" w:before="200"/>
      </w:pPr>
      <w:r>
        <w:rPr>
          <w:rFonts w:ascii="Cambria" w:cs="Cambria" w:eastAsia="Cambria" w:hAnsi="Cambria"/>
          <w:b/>
          <w:bCs/>
          <w:color w:val="1E2761"/>
        </w:rPr>
        <w:t xml:space="preserve">1. Overview</w:t>
      </w:r>
    </w:p>
    <w:p>
      <w:pPr>
        <w:spacing w:after="90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Classifiers that score one flow at a time discard exactly the structure that gives an infiltration away: the order in which ports get probed, the SYN-before-ACK-flood pattern, the timing between reconnaissance packets. We treat the network as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dynamical system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instead of a bag of independent flows.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world model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learns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P(S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  <w:vertAlign w:val="subscript"/>
        </w:rPr>
        <w:t xml:space="preserve">t+1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 | S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  <w:vertAlign w:val="subscript"/>
        </w:rPr>
        <w:t xml:space="preserve">≤t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)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the distribution over the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next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network state given the recent past — and rolls that forward K steps to answer the question a defender actually has: </w:t>
      </w:r>
    </w:p>
    <w:p>
      <w:pPr>
        <w:spacing w:after="90" w:line="258"/>
      </w:pPr>
      <w:r>
        <w:rPr>
          <w:rFonts w:ascii="Calibri" w:cs="Calibri" w:eastAsia="Calibri" w:hAnsi="Calibri"/>
          <w:b/>
          <w:bCs/>
          <w:i/>
          <w:iCs/>
          <w:color w:val="3D4B6E"/>
          <w:sz w:val="19"/>
          <w:szCs w:val="19"/>
        </w:rPr>
        <w:t xml:space="preserve">“Given what I’m seeing right now, how likely is compromise in the next minute, at what stage, and why?”</w:t>
      </w:r>
    </w:p>
    <w:p>
      <w:pPr>
        <w:pStyle w:val="Heading2"/>
        <w:spacing w:after="90" w:before="200"/>
      </w:pPr>
      <w:r>
        <w:rPr>
          <w:rFonts w:ascii="Cambria" w:cs="Cambria" w:eastAsia="Cambria" w:hAnsi="Cambria"/>
          <w:b/>
          <w:bCs/>
          <w:color w:val="1E2761"/>
        </w:rPr>
        <w:t xml:space="preserve">2. System Architecture</w:t>
      </w:r>
    </w:p>
    <w:p>
      <w:pPr>
        <w:spacing w:after="60"/>
        <w:jc w:val="center"/>
      </w:pPr>
      <w:r>
        <w:drawing>
          <wp:inline distT="0" distB="0" distL="0" distR="0">
            <wp:extent cx="5857875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Flow-level and packet-level features are aggregated into a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49-dimensional network-state vector every 10 seconds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(flag ratios, destination-port entropy, packet-timing and size statistics, TCP window behaviour). A GRU encodes 30 windows (5 minutes) of history; a rollout head then runs </w:t>
      </w: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free-running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for K=6 windows (1 minute) — feeding its own predicted state back in, not the ground truth — to produce a genuine forecast rather than a one-step-ahead fit. Three heads read out of every rollout step: infiltration probability, predicted MITRE ATT&amp;CK stage, and the predicted state itself.</w:t>
      </w:r>
    </w:p>
    <w:p>
      <w:pPr>
        <w:pStyle w:val="Heading2"/>
        <w:spacing w:after="90" w:before="200"/>
      </w:pPr>
      <w:r>
        <w:rPr>
          <w:rFonts w:ascii="Cambria" w:cs="Cambria" w:eastAsia="Cambria" w:hAnsi="Cambria"/>
          <w:b/>
          <w:bCs/>
          <w:color w:val="1E2761"/>
        </w:rPr>
        <w:t xml:space="preserve">3. Methodology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Multi-task training loss: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Gaussian negative-log-likelihood on the predicted next state (not plain MSE — the model learns a distribution, so its confidence is calibrated), binary cross-entropy on infiltration with a class-balanced </w:t>
      </w:r>
    </w:p>
    <w:p>
      <w:pPr>
        <w:pStyle w:val="ListParagraph"/>
        <w:numPr>
          <w:ilvl w:val="1"/>
          <w:numId w:val="2"/>
        </w:numPr>
        <w:spacing w:after="40" w:line="25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pos_weight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, and cross-entropy on ATT&amp;CK stage. Scheduled sampling decays teacher forcing from 1→0 over training so the model is never evaluated in an easier regime than it is trained in.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Stage mapping: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dataset labels map to Initial Access, Lateral Movement, Command &amp; Control and Impact/DDoS by rule. </w:t>
      </w:r>
    </w:p>
    <w:p>
      <w:pPr>
        <w:pStyle w:val="ListParagraph"/>
        <w:numPr>
          <w:ilvl w:val="1"/>
          <w:numId w:val="2"/>
        </w:numPr>
        <w:spacing w:after="40" w:line="25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CIC-IDS2018 carries no Reconnaissance- or Exfiltration-labelled flows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— the architecture supports both stages, but this dataset alone gives them no training signal (noted here rather than glossed over).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Explainability: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Gradients through the full un-truncated rollout attributes every alarm back to the specific flags, ports and rate features that drove it — chosen over SHAP because it needs only autograd and is well-defined for a recurrent, free-running forecast, where KernelSHAP’s black-box sampling is not.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Evaluation design: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metrics are reported per rollout step (how quality degrades the further ahead we forecast) and aggregated (“attack anywhere in the next 60s”); a logistic-regression baseline is trained on the identical standardised </w:t>
      </w:r>
    </w:p>
    <w:p>
      <w:pPr>
        <w:pStyle w:val="ListParagraph"/>
        <w:numPr>
          <w:ilvl w:val="1"/>
          <w:numId w:val="2"/>
        </w:numPr>
        <w:spacing w:after="40" w:line="250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single-window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features — isolating exactly what temporal modelling buys over a memoryless classifier, which is the comparison the problem statement asks for. A lead-time metric further reports, for attacks with a clean run-up, how many seconds before completion the alarm fired.</w:t>
      </w:r>
    </w:p>
    <w:p>
      <w:pPr>
        <w:pStyle w:val="Heading2"/>
        <w:spacing w:after="90" w:before="200"/>
      </w:pPr>
      <w:r>
        <w:rPr>
          <w:rFonts w:ascii="Cambria" w:cs="Cambria" w:eastAsia="Cambria" w:hAnsi="Cambria"/>
          <w:b/>
          <w:bCs/>
          <w:color w:val="1E2761"/>
        </w:rPr>
        <w:t xml:space="preserve">4. Technology Stack</w:t>
      </w:r>
    </w:p>
    <w:tbl>
      <w:tblPr>
        <w:tblW w:type="dxa" w:w="9350"/>
        <w:tblBorders>
          <w:top w:val="single" w:color="B9C2D0" w:sz="4"/>
          <w:left w:val="single" w:color="B9C2D0" w:sz="4"/>
          <w:bottom w:val="single" w:color="B9C2D0" w:sz="4"/>
          <w:right w:val="single" w:color="B9C2D0" w:sz="4"/>
          <w:insideH w:val="single" w:color="DCE2EB" w:sz="4"/>
          <w:insideV w:val="single" w:color="DCE2EB" w:sz="4"/>
        </w:tblBorders>
      </w:tblPr>
      <w:tblGrid>
        <w:gridCol w:w="1900"/>
        <w:gridCol w:w="3725"/>
        <w:gridCol w:w="3725"/>
      </w:tblGrid>
      <w:tr>
        <w:tc>
          <w:tcPr>
            <w:tcW w:type="dxa" w:w="1900"/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725"/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25"/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Features</w:t>
            </w:r>
          </w:p>
        </w:tc>
        <w:tc>
          <w:tcPr>
            <w:tcW w:type="dxa" w:w="3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pandas (chunked), NumPy</w:t>
            </w:r>
          </w:p>
        </w:tc>
        <w:tc>
          <w:tcPr>
            <w:tcW w:type="dxa" w:w="3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Streams the 3.8 GB day without loading it whole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Model</w:t>
            </w:r>
          </w:p>
        </w:tc>
        <w:tc>
          <w:tcPr>
            <w:tcW w:type="dxa" w:w="3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PyTorch (GRU dynamics + rollout head)</w:t>
            </w:r>
          </w:p>
        </w:tc>
        <w:tc>
          <w:tcPr>
            <w:tcW w:type="dxa" w:w="3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Small enough to train on a 6 GB laptop GPU in minutes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Baseline</w:t>
            </w:r>
          </w:p>
        </w:tc>
        <w:tc>
          <w:tcPr>
            <w:tcW w:type="dxa" w:w="3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scikit-learn LogisticRegression</w:t>
            </w:r>
          </w:p>
        </w:tc>
        <w:tc>
          <w:tcPr>
            <w:tcW w:type="dxa" w:w="3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Required benchmark, same standardised features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3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Integrated Gradients (custom, autograd-only)</w:t>
            </w:r>
          </w:p>
        </w:tc>
        <w:tc>
          <w:tcPr>
            <w:tcW w:type="dxa" w:w="3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extra dependency; well-defined through a free-running rollout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Interface</w:t>
            </w:r>
          </w:p>
        </w:tc>
        <w:tc>
          <w:tcPr>
            <w:tcW w:type="dxa" w:w="3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Streamlit</w:t>
            </w:r>
          </w:p>
        </w:tc>
        <w:tc>
          <w:tcPr>
            <w:tcW w:type="dxa" w:w="37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 web UI, zero cloud calls, matches PS requirement</w:t>
            </w:r>
          </w:p>
        </w:tc>
      </w:tr>
    </w:tbl>
    <w:p>
      <w:pPr>
        <w:pStyle w:val="Heading2"/>
        <w:spacing w:after="90" w:before="200"/>
      </w:pPr>
      <w:r>
        <w:rPr>
          <w:rFonts w:ascii="Cambria" w:cs="Cambria" w:eastAsia="Cambria" w:hAnsi="Cambria"/>
          <w:b/>
          <w:bCs/>
          <w:color w:val="1E2761"/>
        </w:rPr>
        <w:t xml:space="preserve">5. Deployment &amp; Applicability</w:t>
      </w:r>
    </w:p>
    <w:p>
      <w:pPr>
        <w:spacing w:after="90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reference implementation (a few hundred thousand parameters) trains in minutes on a 6 GB laptop GPU and infers in real time on a CPU, and the Streamlit interface runs fully offline with no cloud dependency — a deliberate fit for air-gapped enterprise SOCs and Critical Information Infrastructure deployments where telemetry cannot leave the perimeter. The same pipeline accepts flow CSVs from any CICFlowMeter-compatible exporter, not only CIC-IDS2018.</w:t>
      </w:r>
    </w:p>
    <w:p>
      <w:pPr>
        <w:pStyle w:val="Heading2"/>
        <w:spacing w:after="90" w:before="200"/>
      </w:pPr>
      <w:r>
        <w:rPr>
          <w:rFonts w:ascii="Cambria" w:cs="Cambria" w:eastAsia="Cambria" w:hAnsi="Cambria"/>
          <w:b/>
          <w:bCs/>
          <w:color w:val="1E2761"/>
        </w:rPr>
        <w:t xml:space="preserve">6. Limitations &amp; Next Steps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No Reconnaissance/Exfiltration ground truth in this dataset (see §3) — fusing in CIC-IDS2017 (which labels PortScan) is the planned fix.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Validated end-to-end on schema-matched synthetic traffic during development; full-scale benchmark numbers on the real 16M-flow dataset are the next run.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Calibri" w:cs="Calibri" w:eastAsia="Calibri" w:hAnsi="Calibri"/>
          <w:sz w:val="19"/>
          <w:szCs w:val="19"/>
        </w:rPr>
        <w:t xml:space="preserve">Planned: GNN variant over a live flow graph (rather than aggregate statistics) for lateral-movement patterns that a single-node state vector under-represents.</w:t>
      </w:r>
    </w:p>
    <w:p>
      <w:pPr>
        <w:pStyle w:val="Heading2"/>
        <w:spacing w:after="90" w:before="200"/>
      </w:pPr>
      <w:r>
        <w:rPr>
          <w:rFonts w:ascii="Cambria" w:cs="Cambria" w:eastAsia="Cambria" w:hAnsi="Cambria"/>
          <w:b/>
          <w:bCs/>
          <w:color w:val="1E2761"/>
        </w:rPr>
        <w:t xml:space="preserve">7. Preliminary Validation (Synthetic, Schema-Matched Traffic)</w:t>
      </w:r>
    </w:p>
    <w:p>
      <w:pPr>
        <w:spacing w:after="90" w:line="258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pipeline below was exercised end-to-end — download → feature extraction → training → evaluation → explainability — on traffic generated with the identical CICFlowMeter schema and injected attack episodes, ahead of the full run on the real 16M-flow dataset. On this validation run: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F1 0.72, AUROC 0.87, AUPRC 0.61, false-positive rate 0.8%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for “attack somewhere in the next 60s”, versus F1 0.00 for the logistic-regression baseline at the same operating point — i.e. the temporal signal is where the detections are coming from. Left: forecast probability against ground truth over one held-out segment. Right: Integrated-Gradients feature attribution, correctly surfacing packet-rate, flow-count and SYN-without-ACK signatures for the injected flood-style attack.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50"/>
        <w:gridCol w:w="3700"/>
      </w:tblGrid>
      <w:tr>
        <w:tc>
          <w:tcPr>
            <w:tcW w:type="dxa" w:w="565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33375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143125" cy="1533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 w:line="258"/>
      </w:pPr>
      <w:r>
        <w:rPr>
          <w:rFonts w:ascii="Calibri" w:cs="Calibri" w:eastAsia="Calibri" w:hAnsi="Calibri"/>
          <w:i/>
          <w:iCs/>
          <w:color w:val="5A6B87"/>
          <w:sz w:val="17"/>
          <w:szCs w:val="17"/>
        </w:rPr>
        <w:t xml:space="preserve">Real-dataset numbers will supersede these once training completes on the target machine; the architecture, losses and evaluation code do not change between the two.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444562c963d6ef365489070f262a6b39778c047.png"/><Relationship Id="rId8" Type="http://schemas.openxmlformats.org/officeDocument/2006/relationships/image" Target="media/89e95febe959a2c8e04b3ea12df18c557b24809a.png"/><Relationship Id="rId9" Type="http://schemas.openxmlformats.org/officeDocument/2006/relationships/image" Target="media/b048c28c06b788ef79489c4dd989f112634026f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2026-09-23T10:49:02.493Z</dcterms:created>
  <dcterms:modified xsi:type="dcterms:W3CDTF">2026-09-23T10:49:02.494Z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