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rPr>
      </w:pPr>
      <w:r w:rsidDel="00000000" w:rsidR="00000000" w:rsidRPr="00000000">
        <w:rPr>
          <w:rFonts w:ascii="Arial" w:cs="Arial" w:eastAsia="Arial" w:hAnsi="Arial"/>
          <w:b w:val="1"/>
          <w:bCs w:val="1"/>
          <w:sz w:val="34"/>
          <w:szCs w:val="34"/>
          <w:rtl w:val="0"/>
        </w:rPr>
        <w:t xml:space="preserve">ISO/IEC 27001 Lead Implementer</w:t>
      </w:r>
      <w:r w:rsidDel="00000000" w:rsidR="00000000" w:rsidRPr="00000000">
        <w:rPr>
          <w:rtl w:val="0"/>
        </w:rPr>
      </w:r>
    </w:p>
    <w:p w:rsidR="00000000" w:rsidDel="00000000" w:rsidP="00000000" w:rsidRDefault="00000000" w:rsidRPr="00000000" w14:paraId="00000002">
      <w:pPr>
        <w:pBdr>
          <w:bottom w:space="0" w:sz="0" w:val="nil"/>
        </w:pBdr>
        <w:shd w:fill="auto" w:val="clear"/>
        <w:spacing w:after="260" w:lineRule="auto"/>
        <w:jc w:val="center"/>
        <w:rPr>
          <w:rFonts w:ascii="Arial" w:cs="Arial" w:eastAsia="Arial" w:hAnsi="Arial"/>
        </w:rPr>
      </w:pPr>
      <w:r w:rsidDel="00000000" w:rsidR="00000000" w:rsidRPr="00000000">
        <w:rPr>
          <w:rFonts w:ascii="Arial" w:cs="Arial" w:eastAsia="Arial" w:hAnsi="Arial"/>
          <w:sz w:val="22"/>
          <w:szCs w:val="22"/>
          <w:rtl w:val="0"/>
        </w:rPr>
        <w:t xml:space="preserve">Organization: Inter Market Securities — Brokerage Platform</w:t>
      </w:r>
      <w:r w:rsidDel="00000000" w:rsidR="00000000" w:rsidRPr="00000000">
        <w:rPr>
          <w:rtl w:val="0"/>
        </w:rPr>
      </w:r>
    </w:p>
    <w:p w:rsidR="00000000" w:rsidDel="00000000" w:rsidP="00000000" w:rsidRDefault="00000000" w:rsidRPr="00000000" w14:paraId="00000003">
      <w:pPr>
        <w:pStyle w:val="Heading1"/>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1. Organization Overview</w:t>
      </w:r>
      <w:r w:rsidDel="00000000" w:rsidR="00000000" w:rsidRPr="00000000">
        <w:rPr>
          <w:rtl w:val="0"/>
        </w:rPr>
      </w:r>
    </w:p>
    <w:p w:rsidR="00000000" w:rsidDel="00000000" w:rsidP="00000000" w:rsidRDefault="00000000" w:rsidRPr="00000000" w14:paraId="00000004">
      <w:pPr>
        <w:spacing w:after="120" w:lineRule="auto"/>
        <w:rPr>
          <w:rFonts w:ascii="Arial" w:cs="Arial" w:eastAsia="Arial" w:hAnsi="Arial"/>
        </w:rPr>
      </w:pPr>
      <w:r w:rsidDel="00000000" w:rsidR="00000000" w:rsidRPr="00000000">
        <w:rPr>
          <w:rFonts w:ascii="Arial" w:cs="Arial" w:eastAsia="Arial" w:hAnsi="Arial"/>
          <w:rtl w:val="0"/>
        </w:rPr>
        <w:t xml:space="preserve">Inter Market Securities (IMS) is a brokerage house providing equity, debt, and derivatives trading services through a licensed online trading platform (web and mobile applications), in addition to traditional dealer-assisted trading. Its core business functions include: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Online/mobile trading platform for retail and institutional clients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Order execution, clearing, and settlement (linked with the stock exchange and central depository)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Client onboarding, KYC</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verification, and account management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Research, advisory, and margin financing services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Custody of client funds, securities, and sensitive financial/personal data</w:t>
      </w:r>
    </w:p>
    <w:p w:rsidR="00000000" w:rsidDel="00000000" w:rsidP="00000000" w:rsidRDefault="00000000" w:rsidRPr="00000000" w14:paraId="0000000A">
      <w:pPr>
        <w:spacing w:after="120" w:lineRule="auto"/>
        <w:rPr>
          <w:rFonts w:ascii="Arial" w:cs="Arial" w:eastAsia="Arial" w:hAnsi="Arial"/>
        </w:rPr>
      </w:pPr>
      <w:r w:rsidDel="00000000" w:rsidR="00000000" w:rsidRPr="00000000">
        <w:rPr>
          <w:rFonts w:ascii="Arial" w:cs="Arial" w:eastAsia="Arial" w:hAnsi="Arial"/>
          <w:rtl w:val="0"/>
        </w:rPr>
        <w:t xml:space="preserve">Because IMS handles financial transactions, personally identifiable information (PII), and market-sensitive data, information security is critical to maintaining regulatory compliance, client trust, and operational continuity. </w:t>
        <w:br w:type="textWrapping"/>
        <w:t xml:space="preserve">This activity applies Clause 4 (Context of the Organization) of ISO/IEC 27001 to identify the internal and external issues, interested parties, and ISMS scope for IMS.</w:t>
      </w:r>
    </w:p>
    <w:p w:rsidR="00000000" w:rsidDel="00000000" w:rsidP="00000000" w:rsidRDefault="00000000" w:rsidRPr="00000000" w14:paraId="0000000B">
      <w:pPr>
        <w:pStyle w:val="Heading1"/>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 External and Internal Issues (Clause 4.1)</w:t>
      </w:r>
      <w:r w:rsidDel="00000000" w:rsidR="00000000" w:rsidRPr="00000000">
        <w:rPr>
          <w:rtl w:val="0"/>
        </w:rPr>
      </w:r>
    </w:p>
    <w:p w:rsidR="00000000" w:rsidDel="00000000" w:rsidP="00000000" w:rsidRDefault="00000000" w:rsidRPr="00000000" w14:paraId="0000000C">
      <w:pPr>
        <w:spacing w:after="120" w:lineRule="auto"/>
        <w:rPr>
          <w:rFonts w:ascii="Arial" w:cs="Arial" w:eastAsia="Arial" w:hAnsi="Arial"/>
        </w:rPr>
      </w:pPr>
      <w:r w:rsidDel="00000000" w:rsidR="00000000" w:rsidRPr="00000000">
        <w:rPr>
          <w:rFonts w:ascii="Arial" w:cs="Arial" w:eastAsia="Arial" w:hAnsi="Arial"/>
          <w:rtl w:val="0"/>
        </w:rPr>
        <w:t xml:space="preserve">Clause 4.1 requires the organization to determine external and internal issues relevant to its purpose that affect its ability to achieve the intended outcomes of the ISMS.</w:t>
      </w:r>
    </w:p>
    <w:p w:rsidR="00000000" w:rsidDel="00000000" w:rsidP="00000000" w:rsidRDefault="00000000" w:rsidRPr="00000000" w14:paraId="0000000D">
      <w:pPr>
        <w:pStyle w:val="Heading2"/>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2.1 External Issues (Outside the Organization's Control)</w:t>
      </w:r>
      <w:r w:rsidDel="00000000" w:rsidR="00000000" w:rsidRPr="00000000">
        <w:rPr>
          <w:rtl w:val="0"/>
        </w:rPr>
      </w:r>
    </w:p>
    <w:tbl>
      <w:tblPr>
        <w:tblStyle w:val="Table1"/>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825"/>
        <w:tblGridChange w:id="0">
          <w:tblGrid>
            <w:gridCol w:w="2595"/>
            <w:gridCol w:w="682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sz w:val="20"/>
                <w:szCs w:val="20"/>
                <w:rtl w:val="0"/>
              </w:rPr>
              <w:t xml:space="preserve">Relevance to IMS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sz w:val="20"/>
                <w:szCs w:val="20"/>
                <w:rtl w:val="0"/>
              </w:rPr>
              <w:t xml:space="preserve">Legal / Regulatory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0"/>
                <w:szCs w:val="20"/>
                <w:rtl w:val="0"/>
              </w:rPr>
              <w:t xml:space="preserve">Non-compliance risks license suspension, fines, or reputational damage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sz w:val="20"/>
                <w:szCs w:val="20"/>
                <w:rtl w:val="0"/>
              </w:rPr>
              <w:t xml:space="preserve">Technological Threats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0"/>
                <w:szCs w:val="20"/>
                <w:rtl w:val="0"/>
              </w:rPr>
              <w:t xml:space="preserve">Client accounts and trading systems are attractive targets for fraud</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sz w:val="20"/>
                <w:szCs w:val="20"/>
                <w:rtl w:val="0"/>
              </w:rPr>
              <w:t xml:space="preserve">Economic Factors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sz w:val="20"/>
                <w:szCs w:val="20"/>
                <w:rtl w:val="0"/>
              </w:rPr>
              <w:t xml:space="preserve">Impacts budget available for security investment</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sz w:val="20"/>
                <w:szCs w:val="20"/>
                <w:rtl w:val="0"/>
              </w:rPr>
              <w:t xml:space="preserve">Third-Party / Supplier Risks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sz w:val="20"/>
                <w:szCs w:val="20"/>
                <w:rtl w:val="0"/>
              </w:rPr>
              <w:t xml:space="preserve">An outage or breach at a critical vendor disrupts trading or exposes client data</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sz w:val="20"/>
                <w:szCs w:val="20"/>
                <w:rtl w:val="0"/>
              </w:rPr>
              <w:t xml:space="preserve">Competitor Actions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sz w:val="20"/>
                <w:szCs w:val="20"/>
                <w:rtl w:val="0"/>
              </w:rPr>
              <w:t xml:space="preserve">Increases client and regulator scrutiny of IMS's own security posture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sz w:val="20"/>
                <w:szCs w:val="20"/>
                <w:rtl w:val="0"/>
              </w:rPr>
              <w:t xml:space="preserve">Geopolitical / Political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sz w:val="20"/>
                <w:szCs w:val="20"/>
                <w:rtl w:val="0"/>
              </w:rPr>
              <w:t xml:space="preserve">Can affect market operations and cross-border fund transfers</w:t>
            </w:r>
            <w:r w:rsidDel="00000000" w:rsidR="00000000" w:rsidRPr="00000000">
              <w:rPr>
                <w:rtl w:val="0"/>
              </w:rPr>
            </w:r>
          </w:p>
        </w:tc>
      </w:tr>
    </w:tbl>
    <w:p w:rsidR="00000000" w:rsidDel="00000000" w:rsidP="00000000" w:rsidRDefault="00000000" w:rsidRPr="00000000" w14:paraId="0000001C">
      <w:pPr>
        <w:spacing w:before="220" w:lineRule="auto"/>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2"/>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2.2 Internal Issues (Within the Organization's Control)</w:t>
      </w: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5805"/>
        <w:tblGridChange w:id="0">
          <w:tblGrid>
            <w:gridCol w:w="2595"/>
            <w:gridCol w:w="580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sz w:val="20"/>
                <w:szCs w:val="20"/>
                <w:rtl w:val="0"/>
              </w:rPr>
              <w:t xml:space="preserve">Relevance to IMS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sz w:val="20"/>
                <w:szCs w:val="20"/>
                <w:rtl w:val="0"/>
              </w:rPr>
              <w:t xml:space="preserve">Leadership Commitment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sz w:val="20"/>
                <w:szCs w:val="20"/>
                <w:rtl w:val="0"/>
              </w:rPr>
              <w:t xml:space="preserve">Limits budget, policy enforcement, and cultural buy-in</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sz w:val="20"/>
                <w:szCs w:val="20"/>
                <w:rtl w:val="0"/>
              </w:rPr>
              <w:t xml:space="preserve">Resource Limitations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sz w:val="20"/>
                <w:szCs w:val="20"/>
                <w:rtl w:val="0"/>
              </w:rPr>
              <w:t xml:space="preserve">Slower incident response and weaker control ownership</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sz w:val="20"/>
                <w:szCs w:val="20"/>
                <w:rtl w:val="0"/>
              </w:rPr>
              <w:t xml:space="preserve">Employee Awareness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sz w:val="20"/>
                <w:szCs w:val="20"/>
                <w:rtl w:val="0"/>
              </w:rPr>
              <w:t xml:space="preserve">Increases risk of account takeover and fraud via social engineering</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sz w:val="20"/>
                <w:szCs w:val="20"/>
                <w:rtl w:val="0"/>
              </w:rPr>
              <w:t xml:space="preserve">Legacy Systems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sz w:val="20"/>
                <w:szCs w:val="20"/>
                <w:rtl w:val="0"/>
              </w:rPr>
              <w:t xml:space="preserve">Creates technical debt and control gaps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sz w:val="20"/>
                <w:szCs w:val="20"/>
                <w:rtl w:val="0"/>
              </w:rPr>
              <w:t xml:space="preserve">Organizational Culture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sz w:val="20"/>
                <w:szCs w:val="20"/>
                <w:rtl w:val="0"/>
              </w:rPr>
              <w:t xml:space="preserve">Undermines access control and accountability</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sz w:val="20"/>
                <w:szCs w:val="20"/>
                <w:rtl w:val="0"/>
              </w:rPr>
              <w:t xml:space="preserve">System/Process Complexity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sz w:val="20"/>
                <w:szCs w:val="20"/>
                <w:rtl w:val="0"/>
              </w:rPr>
              <w:t xml:space="preserve">Increases the attack surface and interface risk</w:t>
            </w:r>
            <w:r w:rsidDel="00000000" w:rsidR="00000000" w:rsidRPr="00000000">
              <w:rPr>
                <w:rtl w:val="0"/>
              </w:rPr>
            </w:r>
          </w:p>
        </w:tc>
      </w:tr>
    </w:tbl>
    <w:p w:rsidR="00000000" w:rsidDel="00000000" w:rsidP="00000000" w:rsidRDefault="00000000" w:rsidRPr="00000000" w14:paraId="0000002C">
      <w:pPr>
        <w:pStyle w:val="Heading1"/>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3. Interested Parties and Their Requirements (Clause 4.2)</w:t>
      </w:r>
      <w:r w:rsidDel="00000000" w:rsidR="00000000" w:rsidRPr="00000000">
        <w:rPr>
          <w:rtl w:val="0"/>
        </w:rPr>
      </w:r>
    </w:p>
    <w:p w:rsidR="00000000" w:rsidDel="00000000" w:rsidP="00000000" w:rsidRDefault="00000000" w:rsidRPr="00000000" w14:paraId="0000002D">
      <w:pPr>
        <w:spacing w:after="120" w:lineRule="auto"/>
        <w:rPr>
          <w:rFonts w:ascii="Arial" w:cs="Arial" w:eastAsia="Arial" w:hAnsi="Arial"/>
        </w:rPr>
      </w:pPr>
      <w:r w:rsidDel="00000000" w:rsidR="00000000" w:rsidRPr="00000000">
        <w:rPr>
          <w:rFonts w:ascii="Arial" w:cs="Arial" w:eastAsia="Arial" w:hAnsi="Arial"/>
          <w:rtl w:val="0"/>
        </w:rPr>
        <w:t xml:space="preserve">Clause 4.2 requires the organization to determine interested parties relevant to the ISMS and their requirements related to information security.</w:t>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3200"/>
        <w:gridCol w:w="3000"/>
        <w:tblGridChange w:id="0">
          <w:tblGrid>
            <w:gridCol w:w="1900"/>
            <w:gridCol w:w="1900"/>
            <w:gridCol w:w="3200"/>
            <w:gridCol w:w="30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sz w:val="20"/>
                <w:szCs w:val="20"/>
                <w:rtl w:val="0"/>
              </w:rPr>
              <w:t xml:space="preserve">Interested Party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b w:val="1"/>
                <w:bCs w:val="1"/>
                <w:sz w:val="20"/>
                <w:szCs w:val="20"/>
                <w:rtl w:val="0"/>
              </w:rPr>
              <w:t xml:space="preserve">Relevance to ISMS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sz w:val="20"/>
                <w:szCs w:val="20"/>
                <w:rtl w:val="0"/>
              </w:rPr>
              <w:t xml:space="preserve">Information Security Requirements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bCs w:val="1"/>
                <w:sz w:val="20"/>
                <w:szCs w:val="20"/>
                <w:rtl w:val="0"/>
              </w:rPr>
              <w:t xml:space="preserve">Impact on ISMS Implementation</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sz w:val="20"/>
                <w:szCs w:val="20"/>
                <w:rtl w:val="0"/>
              </w:rPr>
              <w:t xml:space="preserve">Clients / Investors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sz w:val="20"/>
                <w:szCs w:val="20"/>
                <w:rtl w:val="0"/>
              </w:rPr>
              <w:t xml:space="preserve">High — funds, trading data, PII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sz w:val="20"/>
                <w:szCs w:val="20"/>
                <w:rtl w:val="0"/>
              </w:rPr>
              <w:t xml:space="preserve">Data confidentiality, secure login/MFA, transaction integrity, timely breach notification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sz w:val="20"/>
                <w:szCs w:val="20"/>
                <w:rtl w:val="0"/>
              </w:rPr>
              <w:t xml:space="preserve">Weak controls can cause financial loss, client attrition, lawsuits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sz w:val="20"/>
                <w:szCs w:val="20"/>
                <w:rtl w:val="0"/>
              </w:rPr>
              <w:t xml:space="preserve">Regulators (SECP, PSX, NCCPL)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sz w:val="20"/>
                <w:szCs w:val="20"/>
                <w:rtl w:val="0"/>
              </w:rPr>
              <w:t xml:space="preserve">Critical — legal &amp; licensing compliance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sz w:val="20"/>
                <w:szCs w:val="20"/>
                <w:rtl w:val="0"/>
              </w:rPr>
              <w:t xml:space="preserve">Audit trails, data retention, incident reporting, compliance with cybersecurity circulars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sz w:val="20"/>
                <w:szCs w:val="20"/>
                <w:rtl w:val="0"/>
              </w:rPr>
              <w:t xml:space="preserve">Non-compliance risks fines, license suspension, or revocation</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sz w:val="20"/>
                <w:szCs w:val="20"/>
                <w:rtl w:val="0"/>
              </w:rPr>
              <w:t xml:space="preserve">Employees / Dealers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sz w:val="20"/>
                <w:szCs w:val="20"/>
                <w:rtl w:val="0"/>
              </w:rPr>
              <w:t xml:space="preserve">High — human factor in security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sz w:val="20"/>
                <w:szCs w:val="20"/>
                <w:rtl w:val="0"/>
              </w:rPr>
              <w:t xml:space="preserve">Security awareness training, defined access rights, acceptable-use policy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sz w:val="20"/>
                <w:szCs w:val="20"/>
                <w:rtl w:val="0"/>
              </w:rPr>
              <w:t xml:space="preserve">Untrained staff increase phishing and insider-risk exposure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sz w:val="20"/>
                <w:szCs w:val="20"/>
                <w:rtl w:val="0"/>
              </w:rPr>
              <w:t xml:space="preserve">Technology &amp; Cloud Vendors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20"/>
                <w:szCs w:val="20"/>
                <w:rtl w:val="0"/>
              </w:rPr>
              <w:t xml:space="preserve">Moderate–High — third-party dependency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sz w:val="20"/>
                <w:szCs w:val="20"/>
                <w:rtl w:val="0"/>
              </w:rPr>
              <w:t xml:space="preserve">Vendor security assessments, SLAs, confidentiality/NDA clauses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sz w:val="20"/>
                <w:szCs w:val="20"/>
                <w:rtl w:val="0"/>
              </w:rPr>
              <w:t xml:space="preserve">Weak vendor controls can lead to supply-chain breaches or downtime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sz w:val="20"/>
                <w:szCs w:val="20"/>
                <w:rtl w:val="0"/>
              </w:rPr>
              <w:t xml:space="preserve">Banks / Payment Gateways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sz w:val="20"/>
                <w:szCs w:val="20"/>
                <w:rtl w:val="0"/>
              </w:rPr>
              <w:t xml:space="preserve">High — funds transfer integrity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sz w:val="20"/>
                <w:szCs w:val="20"/>
                <w:rtl w:val="0"/>
              </w:rPr>
              <w:t xml:space="preserve">Secure API integration, encryption in transit, reconciliation controls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20"/>
                <w:szCs w:val="20"/>
                <w:rtl w:val="0"/>
              </w:rPr>
              <w:t xml:space="preserve">Errors or breaches disrupt settlement and client fund safety</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sz w:val="20"/>
                <w:szCs w:val="20"/>
                <w:rtl w:val="0"/>
              </w:rPr>
              <w:t xml:space="preserve">Board of Directors / Top Management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sz w:val="20"/>
                <w:szCs w:val="20"/>
                <w:rtl w:val="0"/>
              </w:rPr>
              <w:t xml:space="preserve">High — governance &amp; strategy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sz w:val="20"/>
                <w:szCs w:val="20"/>
                <w:rtl w:val="0"/>
              </w:rPr>
              <w:t xml:space="preserve">ISMS performance reporting, risk appetite statement, budget approval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sz w:val="20"/>
                <w:szCs w:val="20"/>
                <w:rtl w:val="0"/>
              </w:rPr>
              <w:t xml:space="preserve">Drives resourcing, accountability, and strategic priority</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sz w:val="20"/>
                <w:szCs w:val="20"/>
                <w:rtl w:val="0"/>
              </w:rPr>
              <w:t xml:space="preserve">Central Depository Company (CDC)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sz w:val="20"/>
                <w:szCs w:val="20"/>
                <w:rtl w:val="0"/>
              </w:rPr>
              <w:t xml:space="preserve">Critical — custody of securities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sz w:val="20"/>
                <w:szCs w:val="20"/>
                <w:rtl w:val="0"/>
              </w:rPr>
              <w:t xml:space="preserve">Secure interfacing, data accuracy, access controls on depository transactions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sz w:val="20"/>
                <w:szCs w:val="20"/>
                <w:rtl w:val="0"/>
              </w:rPr>
              <w:t xml:space="preserve">Errors can misstate client holdings or enable fraud</w:t>
            </w:r>
            <w:r w:rsidDel="00000000" w:rsidR="00000000" w:rsidRPr="00000000">
              <w:rPr>
                <w:rtl w:val="0"/>
              </w:rPr>
            </w:r>
          </w:p>
        </w:tc>
      </w:tr>
    </w:tbl>
    <w:p w:rsidR="00000000" w:rsidDel="00000000" w:rsidP="00000000" w:rsidRDefault="00000000" w:rsidRPr="00000000" w14:paraId="0000004E">
      <w:pPr>
        <w:pStyle w:val="Heading1"/>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4. ISMS Scope Statement (Clause 4.3)</w:t>
      </w:r>
      <w:r w:rsidDel="00000000" w:rsidR="00000000" w:rsidRPr="00000000">
        <w:rPr>
          <w:rtl w:val="0"/>
        </w:rPr>
      </w:r>
    </w:p>
    <w:p w:rsidR="00000000" w:rsidDel="00000000" w:rsidP="00000000" w:rsidRDefault="00000000" w:rsidRPr="00000000" w14:paraId="0000004F">
      <w:pPr>
        <w:spacing w:after="120" w:lineRule="auto"/>
        <w:rPr>
          <w:rFonts w:ascii="Arial" w:cs="Arial" w:eastAsia="Arial" w:hAnsi="Arial"/>
        </w:rPr>
      </w:pPr>
      <w:r w:rsidDel="00000000" w:rsidR="00000000" w:rsidRPr="00000000">
        <w:rPr>
          <w:rFonts w:ascii="Arial" w:cs="Arial" w:eastAsia="Arial" w:hAnsi="Arial"/>
          <w:rtl w:val="0"/>
        </w:rPr>
        <w:t xml:space="preserve">Clause 4.3 requires the organization to determine the boundaries and applicability of the ISMS, considering the issues identified in 4.1, the requirements identified in 4.2, and interfaces/dependencies with other organizations.</w:t>
      </w:r>
    </w:p>
    <w:p w:rsidR="00000000" w:rsidDel="00000000" w:rsidP="00000000" w:rsidRDefault="00000000" w:rsidRPr="00000000" w14:paraId="00000050">
      <w:pPr>
        <w:pBdr>
          <w:top w:space="0" w:sz="0" w:val="nil"/>
          <w:left w:space="0" w:sz="0" w:val="nil"/>
          <w:bottom w:space="0" w:sz="0" w:val="nil"/>
          <w:right w:space="0" w:sz="0" w:val="nil"/>
        </w:pBdr>
        <w:shd w:fill="ffffff" w:val="clear"/>
        <w:spacing w:after="120" w:before="120" w:lineRule="auto"/>
        <w:rPr>
          <w:rFonts w:ascii="Arial" w:cs="Arial" w:eastAsia="Arial" w:hAnsi="Arial"/>
        </w:rPr>
      </w:pPr>
      <w:r w:rsidDel="00000000" w:rsidR="00000000" w:rsidRPr="00000000">
        <w:rPr>
          <w:rFonts w:ascii="Arial" w:cs="Arial" w:eastAsia="Arial" w:hAnsi="Arial"/>
          <w:i w:val="1"/>
          <w:iCs w:val="1"/>
          <w:sz w:val="22"/>
          <w:szCs w:val="22"/>
          <w:rtl w:val="0"/>
        </w:rPr>
        <w:t xml:space="preserve">"The Information Security Management System (ISMS) applies to the provision of online and dealer-assisted equity, debt, and derivatives brokerage services by Inter Market Securities, including client onboarding and KYC processing, order routing and trade execution, clearing and settlement interfacing with the Pakistan Stock Exchange (PSX) and National Clearing Company (NCCPL), custody-related data interfacing with the Central Depository Company (CDC), the web and mobile trading platform, and supporting IT infrastructure (data centers, cloud services, and network operations) — operating from the organization's Karachi head office and branch locations."</w:t>
      </w:r>
      <w:r w:rsidDel="00000000" w:rsidR="00000000" w:rsidRPr="00000000">
        <w:rPr>
          <w:rtl w:val="0"/>
        </w:rPr>
      </w:r>
    </w:p>
    <w:p w:rsidR="00000000" w:rsidDel="00000000" w:rsidP="00000000" w:rsidRDefault="00000000" w:rsidRPr="00000000" w14:paraId="00000051">
      <w:pPr>
        <w:pStyle w:val="Heading2"/>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4.1 Boundaries Considered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Organizational boundaries: Trading, IT, Compliance, Risk, Customer Services, and Settlement departments; excludes non-financial subsidiary business units, if any.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Information system boundaries: Online/mobile trading platform, back-office trade processing system, client databases (KYC/PII), email and communication systems, and network infrastructure connecting to PSX/NCCPL/CDC/banks.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Physical boundaries: Head office data center/server room, branch offices with client-facing terminals, and approved remote-access endpoints (e.g., staff laptops with VPN/MFA access to the trading network).</w:t>
      </w:r>
    </w:p>
    <w:p w:rsidR="00000000" w:rsidDel="00000000" w:rsidP="00000000" w:rsidRDefault="00000000" w:rsidRPr="00000000" w14:paraId="00000055">
      <w:pPr>
        <w:pStyle w:val="Heading2"/>
        <w:spacing w:after="140" w:before="2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4.2 Exclusions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Non-brokerage business lines not connected to the trading platform or client financial data (if applicable).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Third-party systems fully outside IMS's operational control (e.g., PSX's own internal exchange infrastructure), which are addressed instead through vendor/interface security requirements rather than direct ISMS control</w:t>
      </w:r>
      <w:r w:rsidDel="00000000" w:rsidR="00000000" w:rsidRPr="00000000">
        <w:rPr>
          <w:rFonts w:ascii="Arial" w:cs="Arial" w:eastAsia="Arial" w:hAnsi="Arial"/>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