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Week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Organization: Inter Market Securities — Brokerage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Incident Response Plan — Phishing Attack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Type</w:t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Phishing (email/SMS/social engineering targeting credentials or fraudulent transfers)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Owner</w:t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CISO / Incident Response Team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Assets</w:t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trading platform, staff email/domain accounts, back-office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Basis</w:t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accounts affected, whether client funds/PII exposed, whether credentials or trading access compromised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To detect, contain, and recover from phishing attacks targeting IMS staff or clients quickly and consistently, minimizing impact on client funds, data confidentiality, and platform availability, while meeting regulatory notification obligations (SECP/PSX).</w:t>
      </w:r>
    </w:p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Incident Response Team (IRT) &amp; Roles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Response Lead (CISO)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Overall incident coordination, severity classification, decision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/ Security Analyst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investigation, containment (blocking, isolation), forensic evidence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Officer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Regulatory notification, legal/contractual obligations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on any internal negligence/policy violation; support for affected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Affected Employee(s) / Reporter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Immediate reporting of suspected phishing to IT/Security; preserving evidence (not deleting the email).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Response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1 —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Maintain phishing-reporting mechanism and a documented escalation contact list.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tl w:val="0"/>
        </w:rPr>
        <w:t xml:space="preserve">Apply and 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email security control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spam/phishing filters, DMARC/SPF/DKIM, URL/attachment sandboxing.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Conduct regular phishing-awareness training and simulations.</w:t>
      </w:r>
    </w:p>
    <w:p w:rsidR="00000000" w:rsidDel="00000000" w:rsidP="00000000" w:rsidRDefault="00000000" w:rsidRPr="00000000" w14:paraId="00000020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2 — Detection &amp;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Employee/client reports a suspicious email, SMS, or platform login prompt, OR security monitoring tools flag anomalous login/email activity.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IT/Security Analyst triages the report within 1 hour: confirm it is phishing, identify the sender, targeted users, and any links/attachments involved.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Classify severity: Low (no interaction), Medium (link clicked, no credentials entered), High (credentials entered or funds/PII at risk).</w:t>
      </w:r>
    </w:p>
    <w:p w:rsidR="00000000" w:rsidDel="00000000" w:rsidP="00000000" w:rsidRDefault="00000000" w:rsidRPr="00000000" w14:paraId="0000002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3 — Containment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Block the sender domain/IP and malicious URL at the email gateway and web proxy.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credentials were entered: immediately force-reset the affected account passwords and revoke active sessions.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the trading platform/back-office access may be compromised: temporarily suspend the affected accounts and enable enhanced monitoring.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Isolate any affected endpoint device from the network pending investigation.</w:t>
      </w:r>
    </w:p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4 — Eradication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Remove the phishing email from all mailboxes organization-wide.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Scan affected endpoints for malware; remediate as needed.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Confirm no unauthorized rules, forwarding addresses, or persistence mechanisms remain on compromised accounts.</w:t>
      </w:r>
    </w:p>
    <w:p w:rsidR="00000000" w:rsidDel="00000000" w:rsidP="00000000" w:rsidRDefault="00000000" w:rsidRPr="00000000" w14:paraId="0000002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5 —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Restore affected accounts/systems to normal operation with new credentials and, where applicable, mandatory MFA re-enrollment.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Verify no unauthorized trades, fund transfers, or data exfiltration occurred; reconcile affected accounts with Operations.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Monitor affected accounts/systems closely for a defined period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post-recovery.</w:t>
      </w:r>
    </w:p>
    <w:p w:rsidR="00000000" w:rsidDel="00000000" w:rsidP="00000000" w:rsidRDefault="00000000" w:rsidRPr="00000000" w14:paraId="0000003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6 — Notification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High-severity incidents (client funds/PII exposed): Compliance notifies SECP/PSX per regulatory timelines and notifies affected clients.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Internal incident report logged with timeline, root cause, actions taken, and impact assessment.</w:t>
      </w:r>
    </w:p>
    <w:p w:rsidR="00000000" w:rsidDel="00000000" w:rsidP="00000000" w:rsidRDefault="00000000" w:rsidRPr="00000000" w14:paraId="0000003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7 — Post-Incident Review (Lessons Learned)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Conduct a post-incident review within 5 working days: what worked, what didn't, root cause, and control gaps.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Update the risk assessment, awareness training content, and technical controls based on findings.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0" w:right="0" w:hanging="29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Log the incident and corrective actions as documented information, and feed significant findings into the next Management Review.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40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KPIs for ISMS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two KPIs are proposed to measure the effectiveness of IMS's ISMS on an ongoing basis, in line with ISO/IEC 27001 Clause 9.1 (Monitoring, Measurement, Analysis and Evaluation). </w:t>
      </w:r>
    </w:p>
    <w:p w:rsidR="00000000" w:rsidDel="00000000" w:rsidP="00000000" w:rsidRDefault="00000000" w:rsidRPr="00000000" w14:paraId="0000003B">
      <w:pPr>
        <w:shd w:fill="auto" w:val="clear"/>
        <w:spacing w:after="10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KPI 1 —  ISMS Preventative measures 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percentage of </w:t>
            </w:r>
            <w:r w:rsidDel="00000000" w:rsidR="00000000" w:rsidRPr="00000000">
              <w:rPr>
                <w:rtl w:val="0"/>
              </w:rPr>
              <w:t xml:space="preserve">ISMS preventative measures planned in correspondence to the percentage of ISMS objectives met.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(Number of ISMS preventative measures achieved ÷ Total number of ISMS  preventative measures planned) ×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awareness training platform / phishing simulation tool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Directly measures whether the ISMS is achieving its intended, measurable outcomes as required , and gives top management a single, strategic indicator of overall ISMS performance of preventative measures.</w:t>
            </w:r>
          </w:p>
        </w:tc>
      </w:tr>
    </w:tbl>
    <w:p w:rsidR="00000000" w:rsidDel="00000000" w:rsidP="00000000" w:rsidRDefault="00000000" w:rsidRPr="00000000" w14:paraId="00000046">
      <w:pPr>
        <w:shd w:fill="auto" w:val="clear"/>
        <w:spacing w:after="10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KPI 2 — Mean Time to Detect &amp; Respond to Security Incidents (MTTD / MTTR)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600"/>
        <w:tblGridChange w:id="0">
          <w:tblGrid>
            <w:gridCol w:w="26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average time elapsed between an information security incident occurring (or being reported) and it being detected, and separately, the average time to contain/resolve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MTTD = Σ (Detection Time − Incident Occurrence/Report Time) ÷ Number of Incidents. MTTR = Σ (Resolution Time − Detection Time) ÷ Number of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management/ticketing system logs (timestamps for report, triage, containment, and closure).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Monthly, with a rolling quarterly trend reviewed at Management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Measures the operational effectiveness of incident detection and response capability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Shorter MTTD/MTTR directly reduces the financial, regulatory, and reputational impact of incidents such as phishing-driven account compromise.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9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