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00" w:lineRule="auto"/>
        <w:rPr/>
      </w:pPr>
      <w:r w:rsidDel="00000000" w:rsidR="00000000" w:rsidRPr="00000000">
        <w:rPr>
          <w:rFonts w:ascii="Montserrat SemiBold" w:cs="Montserrat SemiBold" w:eastAsia="Montserrat SemiBold" w:hAnsi="Montserrat SemiBold"/>
          <w:rtl w:val="0"/>
        </w:rPr>
        <w:t xml:space="preserve">Pakistan Information Security Framework (PISF) 2025: Report</w:t>
      </w:r>
      <w:r w:rsidDel="00000000" w:rsidR="00000000" w:rsidRPr="00000000">
        <w:rPr>
          <w:rtl w:val="0"/>
        </w:rPr>
      </w:r>
    </w:p>
    <w:p w:rsidR="00000000" w:rsidDel="00000000" w:rsidP="00000000" w:rsidRDefault="00000000" w:rsidRPr="00000000" w14:paraId="00000002">
      <w:pPr>
        <w:pStyle w:val="Heading1"/>
        <w:spacing w:after="70" w:before="100" w:lineRule="auto"/>
        <w:rPr>
          <w:rFonts w:ascii="Montserrat SemiBold" w:cs="Montserrat SemiBold" w:eastAsia="Montserrat SemiBold" w:hAnsi="Montserrat SemiBold"/>
          <w:color w:val="000000"/>
        </w:rPr>
      </w:pPr>
      <w:r w:rsidDel="00000000" w:rsidR="00000000" w:rsidRPr="00000000">
        <w:rPr>
          <w:rFonts w:ascii="Montserrat SemiBold" w:cs="Montserrat SemiBold" w:eastAsia="Montserrat SemiBold" w:hAnsi="Montserrat SemiBold"/>
          <w:color w:val="000000"/>
          <w:rtl w:val="0"/>
        </w:rPr>
        <w:t xml:space="preserve">1. Introduction and Purpose</w:t>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The Pakistan Information Security Framework (PISF) 2025 is a national cybersecurity compliance framework issued by the National Cyber Emergency Response Team (PKCERT), under the National Telecommunication and Information Security Board (NTISB), Cabinet Division, Government of Pakistan.</w:t>
      </w:r>
      <w:r w:rsidDel="00000000" w:rsidR="00000000" w:rsidRPr="00000000">
        <w:rPr>
          <w:rtl w:val="0"/>
        </w:rPr>
      </w:r>
    </w:p>
    <w:p w:rsidR="00000000" w:rsidDel="00000000" w:rsidP="00000000" w:rsidRDefault="00000000" w:rsidRPr="00000000" w14:paraId="00000004">
      <w:pPr>
        <w:spacing w:after="180" w:lineRule="auto"/>
        <w:rPr>
          <w:rFonts w:ascii="Arial" w:cs="Arial" w:eastAsia="Arial" w:hAnsi="Arial"/>
        </w:rPr>
      </w:pPr>
      <w:r w:rsidDel="00000000" w:rsidR="00000000" w:rsidRPr="00000000">
        <w:rPr>
          <w:rtl w:val="0"/>
        </w:rPr>
      </w:r>
    </w:p>
    <w:p w:rsidR="00000000" w:rsidDel="00000000" w:rsidP="00000000" w:rsidRDefault="00000000" w:rsidRPr="00000000" w14:paraId="00000005">
      <w:pPr>
        <w:spacing w:after="180" w:lineRule="auto"/>
        <w:rPr>
          <w:rFonts w:ascii="Arial" w:cs="Arial" w:eastAsia="Arial" w:hAnsi="Arial"/>
        </w:rPr>
      </w:pPr>
      <w:r w:rsidDel="00000000" w:rsidR="00000000" w:rsidRPr="00000000">
        <w:rPr>
          <w:rFonts w:ascii="Arial" w:cs="Arial" w:eastAsia="Arial" w:hAnsi="Arial"/>
          <w:rtl w:val="0"/>
        </w:rPr>
        <w:t xml:space="preserve">PISF establishes mandatory baseline cybersecurity controls to ensure that federal and provincial government ministries, divisions and departments, autonomous bodies, corporations, CERTs, and designated Critical Information Infrastructure (CII) entities comply with cybersecurity requirements issued by NTISB and nCERT. Unlike ISO/IEC 27001, which is a voluntary international certification, PISF is a compulsory national policy instrument: any organization falling within its defined scope is legally expected to implement it. </w:t>
      </w:r>
    </w:p>
    <w:p w:rsidR="00000000" w:rsidDel="00000000" w:rsidP="00000000" w:rsidRDefault="00000000" w:rsidRPr="00000000" w14:paraId="00000006">
      <w:pPr>
        <w:spacing w:after="180" w:lineRule="auto"/>
        <w:rPr>
          <w:rFonts w:ascii="Arial" w:cs="Arial" w:eastAsia="Arial" w:hAnsi="Arial"/>
        </w:rPr>
      </w:pPr>
      <w:r w:rsidDel="00000000" w:rsidR="00000000" w:rsidRPr="00000000">
        <w:rPr>
          <w:rFonts w:ascii="Arial" w:cs="Arial" w:eastAsia="Arial" w:hAnsi="Arial"/>
          <w:rtl w:val="0"/>
        </w:rPr>
        <w:t xml:space="preserve">The framework does allow flexibility in scale, recognizing that the size and complexity of implementation will vary according to the size of the organization. </w:t>
      </w:r>
    </w:p>
    <w:p w:rsidR="00000000" w:rsidDel="00000000" w:rsidP="00000000" w:rsidRDefault="00000000" w:rsidRPr="00000000" w14:paraId="00000007">
      <w:pPr>
        <w:pStyle w:val="Heading1"/>
        <w:spacing w:after="70" w:before="100" w:lineRule="auto"/>
        <w:rPr>
          <w:rFonts w:ascii="Montserrat SemiBold" w:cs="Montserrat SemiBold" w:eastAsia="Montserrat SemiBold" w:hAnsi="Montserrat SemiBold"/>
          <w:color w:val="000000"/>
        </w:rPr>
      </w:pPr>
      <w:r w:rsidDel="00000000" w:rsidR="00000000" w:rsidRPr="00000000">
        <w:rPr>
          <w:rFonts w:ascii="Montserrat SemiBold" w:cs="Montserrat SemiBold" w:eastAsia="Montserrat SemiBold" w:hAnsi="Montserrat SemiBold"/>
          <w:color w:val="000000"/>
          <w:rtl w:val="0"/>
        </w:rPr>
        <w:t xml:space="preserve">3. Structure of the Framework</w:t>
      </w:r>
    </w:p>
    <w:p w:rsidR="00000000" w:rsidDel="00000000" w:rsidP="00000000" w:rsidRDefault="00000000" w:rsidRPr="00000000" w14:paraId="00000008">
      <w:pPr>
        <w:spacing w:after="180" w:lineRule="auto"/>
        <w:rPr>
          <w:rFonts w:ascii="Arial" w:cs="Arial" w:eastAsia="Arial" w:hAnsi="Arial"/>
        </w:rPr>
      </w:pPr>
      <w:r w:rsidDel="00000000" w:rsidR="00000000" w:rsidRPr="00000000">
        <w:rPr>
          <w:rFonts w:ascii="Arial" w:cs="Arial" w:eastAsia="Arial" w:hAnsi="Arial"/>
          <w:rtl w:val="0"/>
        </w:rPr>
        <w:t xml:space="preserve">PISF 2025 is composed of 13 control documents covering governance, asset and risk management, security training, system and communication protection, identity and access management, data protection and privacy, incident response, physical security, data centre and web hosting services, secure software development lifecycle (SSDLC), supply chain management, audit, and CII protection. These closely mirror the domains found in international standards such as ISO/IEC 27001, but are adapted specifically for Pakistan's public-sector and critical infrastructure context.</w:t>
      </w:r>
    </w:p>
    <w:p w:rsidR="00000000" w:rsidDel="00000000" w:rsidP="00000000" w:rsidRDefault="00000000" w:rsidRPr="00000000" w14:paraId="00000009">
      <w:pPr>
        <w:pStyle w:val="Heading1"/>
        <w:spacing w:after="70" w:before="100" w:lineRule="auto"/>
        <w:rPr>
          <w:rFonts w:ascii="Montserrat SemiBold" w:cs="Montserrat SemiBold" w:eastAsia="Montserrat SemiBold" w:hAnsi="Montserrat SemiBold"/>
          <w:color w:val="000000"/>
        </w:rPr>
      </w:pPr>
      <w:r w:rsidDel="00000000" w:rsidR="00000000" w:rsidRPr="00000000">
        <w:rPr>
          <w:rFonts w:ascii="Montserrat SemiBold" w:cs="Montserrat SemiBold" w:eastAsia="Montserrat SemiBold" w:hAnsi="Montserrat SemiBold"/>
          <w:color w:val="000000"/>
          <w:rtl w:val="0"/>
        </w:rPr>
        <w:t xml:space="preserve">4. Implementation Roadmap</w:t>
      </w:r>
    </w:p>
    <w:p w:rsidR="00000000" w:rsidDel="00000000" w:rsidP="00000000" w:rsidRDefault="00000000" w:rsidRPr="00000000" w14:paraId="0000000A">
      <w:pPr>
        <w:spacing w:after="90" w:lineRule="auto"/>
        <w:rPr>
          <w:rFonts w:ascii="Arial" w:cs="Arial" w:eastAsia="Arial" w:hAnsi="Arial"/>
        </w:rPr>
      </w:pPr>
      <w:r w:rsidDel="00000000" w:rsidR="00000000" w:rsidRPr="00000000">
        <w:rPr>
          <w:rFonts w:ascii="Arial" w:cs="Arial" w:eastAsia="Arial" w:hAnsi="Arial"/>
          <w:rtl w:val="0"/>
        </w:rPr>
        <w:t xml:space="preserve">The framework follows a four-phase, sequential rollout, with security training embedded throughout every phase rather than treated as a separate stage:</w:t>
      </w:r>
    </w:p>
    <w:p w:rsidR="00000000" w:rsidDel="00000000" w:rsidP="00000000" w:rsidRDefault="00000000" w:rsidRPr="00000000" w14:paraId="0000000B">
      <w:pPr>
        <w:spacing w:after="90" w:lineRule="auto"/>
        <w:rPr>
          <w:rFonts w:ascii="Arial" w:cs="Arial" w:eastAsia="Arial" w:hAnsi="Arial"/>
        </w:rPr>
      </w:pPr>
      <w:r w:rsidDel="00000000" w:rsidR="00000000" w:rsidRPr="00000000">
        <w:rPr>
          <w:rFonts w:ascii="Arial" w:cs="Arial" w:eastAsia="Arial" w:hAnsi="Arial"/>
          <w:b w:val="1"/>
          <w:bCs w:val="1"/>
          <w:rtl w:val="0"/>
        </w:rPr>
        <w:t xml:space="preserve">Phase 1</w:t>
      </w:r>
      <w:r w:rsidDel="00000000" w:rsidR="00000000" w:rsidRPr="00000000">
        <w:rPr>
          <w:rFonts w:ascii="Arial" w:cs="Arial" w:eastAsia="Arial" w:hAnsi="Arial"/>
          <w:rtl w:val="0"/>
        </w:rPr>
        <w:t xml:space="preserve"> — Essential Governance Controls: define policies, responsibilities, and oversight mechanisms that form the foundation for all subsequent security work.</w:t>
      </w:r>
    </w:p>
    <w:p w:rsidR="00000000" w:rsidDel="00000000" w:rsidP="00000000" w:rsidRDefault="00000000" w:rsidRPr="00000000" w14:paraId="0000000C">
      <w:pPr>
        <w:spacing w:after="90" w:lineRule="auto"/>
        <w:rPr>
          <w:rFonts w:ascii="Arial" w:cs="Arial" w:eastAsia="Arial" w:hAnsi="Arial"/>
        </w:rPr>
      </w:pPr>
      <w:r w:rsidDel="00000000" w:rsidR="00000000" w:rsidRPr="00000000">
        <w:rPr>
          <w:rFonts w:ascii="Arial" w:cs="Arial" w:eastAsia="Arial" w:hAnsi="Arial"/>
          <w:b w:val="1"/>
          <w:bCs w:val="1"/>
          <w:rtl w:val="0"/>
        </w:rPr>
        <w:t xml:space="preserve">Phase 2</w:t>
      </w:r>
      <w:r w:rsidDel="00000000" w:rsidR="00000000" w:rsidRPr="00000000">
        <w:rPr>
          <w:rFonts w:ascii="Arial" w:cs="Arial" w:eastAsia="Arial" w:hAnsi="Arial"/>
          <w:rtl w:val="0"/>
        </w:rPr>
        <w:t xml:space="preserve"> — Essential Asset &amp; Risk Management Controls: identify, evaluate, and protect critical assets through structured risk management practices.</w:t>
      </w:r>
    </w:p>
    <w:p w:rsidR="00000000" w:rsidDel="00000000" w:rsidP="00000000" w:rsidRDefault="00000000" w:rsidRPr="00000000" w14:paraId="0000000D">
      <w:pPr>
        <w:spacing w:after="90" w:lineRule="auto"/>
        <w:rPr>
          <w:rFonts w:ascii="Arial" w:cs="Arial" w:eastAsia="Arial" w:hAnsi="Arial"/>
        </w:rPr>
      </w:pPr>
      <w:r w:rsidDel="00000000" w:rsidR="00000000" w:rsidRPr="00000000">
        <w:rPr>
          <w:rFonts w:ascii="Arial" w:cs="Arial" w:eastAsia="Arial" w:hAnsi="Arial"/>
          <w:b w:val="1"/>
          <w:bCs w:val="1"/>
          <w:rtl w:val="0"/>
        </w:rPr>
        <w:t xml:space="preserve">Phase 3</w:t>
      </w:r>
      <w:r w:rsidDel="00000000" w:rsidR="00000000" w:rsidRPr="00000000">
        <w:rPr>
          <w:rFonts w:ascii="Arial" w:cs="Arial" w:eastAsia="Arial" w:hAnsi="Arial"/>
          <w:rtl w:val="0"/>
        </w:rPr>
        <w:t xml:space="preserve"> — Essential Core Controls: implement system and communication protection, identity and access management, data protection and privacy, incident response, physical security, and supply chain management as the foundational layer every organization must have. Where applicable, data centre/web hosting, SSDLC, and CII protection controls are added at this stage.</w:t>
      </w:r>
    </w:p>
    <w:p w:rsidR="00000000" w:rsidDel="00000000" w:rsidP="00000000" w:rsidRDefault="00000000" w:rsidRPr="00000000" w14:paraId="0000000E">
      <w:pPr>
        <w:spacing w:after="180" w:lineRule="auto"/>
        <w:rPr>
          <w:rFonts w:ascii="Arial" w:cs="Arial" w:eastAsia="Arial" w:hAnsi="Arial"/>
        </w:rPr>
      </w:pPr>
      <w:r w:rsidDel="00000000" w:rsidR="00000000" w:rsidRPr="00000000">
        <w:rPr>
          <w:rFonts w:ascii="Arial" w:cs="Arial" w:eastAsia="Arial" w:hAnsi="Arial"/>
          <w:b w:val="1"/>
          <w:bCs w:val="1"/>
          <w:rtl w:val="0"/>
        </w:rPr>
        <w:t xml:space="preserve">Phase 4</w:t>
      </w:r>
      <w:r w:rsidDel="00000000" w:rsidR="00000000" w:rsidRPr="00000000">
        <w:rPr>
          <w:rFonts w:ascii="Arial" w:cs="Arial" w:eastAsia="Arial" w:hAnsi="Arial"/>
          <w:rtl w:val="0"/>
        </w:rPr>
        <w:t xml:space="preserve"> — Essential Audit Controls: validate compliance, assess control effectiveness, and drive continual improvement through structured audits.</w:t>
      </w:r>
    </w:p>
    <w:p w:rsidR="00000000" w:rsidDel="00000000" w:rsidP="00000000" w:rsidRDefault="00000000" w:rsidRPr="00000000" w14:paraId="0000000F">
      <w:pPr>
        <w:pStyle w:val="Heading1"/>
        <w:spacing w:after="70" w:before="100" w:lineRule="auto"/>
        <w:rPr>
          <w:rFonts w:ascii="Montserrat SemiBold" w:cs="Montserrat SemiBold" w:eastAsia="Montserrat SemiBold" w:hAnsi="Montserrat SemiBold"/>
          <w:color w:val="000000"/>
        </w:rPr>
      </w:pPr>
      <w:r w:rsidDel="00000000" w:rsidR="00000000" w:rsidRPr="00000000">
        <w:rPr>
          <w:rFonts w:ascii="Montserrat SemiBold" w:cs="Montserrat SemiBold" w:eastAsia="Montserrat SemiBold" w:hAnsi="Montserrat SemiBold"/>
          <w:color w:val="000000"/>
          <w:rtl w:val="0"/>
        </w:rPr>
        <w:t xml:space="preserve">5. Compliance Assessment Methodology</w:t>
      </w:r>
    </w:p>
    <w:p w:rsidR="00000000" w:rsidDel="00000000" w:rsidP="00000000" w:rsidRDefault="00000000" w:rsidRPr="00000000" w14:paraId="00000010">
      <w:pPr>
        <w:spacing w:after="100" w:lineRule="auto"/>
        <w:rPr>
          <w:rFonts w:ascii="Arial" w:cs="Arial" w:eastAsia="Arial" w:hAnsi="Arial"/>
        </w:rPr>
      </w:pPr>
      <w:r w:rsidDel="00000000" w:rsidR="00000000" w:rsidRPr="00000000">
        <w:rPr>
          <w:rFonts w:ascii="Arial" w:cs="Arial" w:eastAsia="Arial" w:hAnsi="Arial"/>
          <w:rtl w:val="0"/>
        </w:rPr>
        <w:t xml:space="preserve">PISF uses a two-table compliance model that mirrors good GRC practice seen in frameworks such as ISO/IEC 27001's Statement of Applicability. Table 1 determines whether a control is In Scope or Out of Scope of the organization's Information Security Management System (ISMS), based on organizational context, processes, systems, and risk exposure. Table 2 then measures the maturity of every in-scope control on a four-point scale:</w:t>
      </w:r>
    </w:p>
    <w:p w:rsidR="00000000" w:rsidDel="00000000" w:rsidP="00000000" w:rsidRDefault="00000000" w:rsidRPr="00000000" w14:paraId="00000011">
      <w:pPr>
        <w:spacing w:after="100" w:lineRule="auto"/>
        <w:rPr>
          <w:rFonts w:ascii="Arial" w:cs="Arial" w:eastAsia="Arial" w:hAnsi="Arial"/>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shd w:fill="d9d9d9" w:val="clear"/>
          </w:tcPr>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rtl w:val="0"/>
              </w:rPr>
              <w:t xml:space="preserve">Scope Determination</w:t>
            </w:r>
          </w:p>
        </w:tc>
        <w:tc>
          <w:tcPr>
            <w:shd w:fill="d9d9d9" w:val="clear"/>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rtl w:val="0"/>
              </w:rPr>
              <w:t xml:space="preserve">Meaning</w:t>
            </w:r>
          </w:p>
        </w:tc>
      </w:tr>
      <w:tr>
        <w:trPr>
          <w:cantSplit w:val="0"/>
          <w:tblHeader w:val="0"/>
        </w:trPr>
        <w:tc>
          <w:tcPr/>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In Scope</w:t>
            </w:r>
          </w:p>
        </w:tc>
        <w:tc>
          <w:tcPr/>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rtl w:val="0"/>
              </w:rPr>
              <w:t xml:space="preserve">The control is relevant to your ISMS — it touches a process, asset, or risk in your environment </w:t>
            </w:r>
          </w:p>
        </w:tc>
      </w:tr>
      <w:tr>
        <w:trPr>
          <w:cantSplit w:val="0"/>
          <w:tblHeader w:val="0"/>
        </w:trPr>
        <w:tc>
          <w:tcPr/>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rtl w:val="0"/>
              </w:rPr>
              <w:t xml:space="preserve">Out of Scope</w:t>
            </w:r>
          </w:p>
        </w:tc>
        <w:tc>
          <w:tcPr/>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tl w:val="0"/>
              </w:rPr>
              <w:t xml:space="preserve">The control doesn't apply — it has nothing to do with your systems/operations/data </w:t>
            </w:r>
          </w:p>
        </w:tc>
      </w:tr>
    </w:tbl>
    <w:p w:rsidR="00000000" w:rsidDel="00000000" w:rsidP="00000000" w:rsidRDefault="00000000" w:rsidRPr="00000000" w14:paraId="00000018">
      <w:pPr>
        <w:spacing w:after="180" w:before="140" w:lineRule="auto"/>
        <w:rPr>
          <w:rFonts w:ascii="Arial" w:cs="Arial" w:eastAsia="Arial" w:hAnsi="Arial"/>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shd w:fill="d9d9d9" w:val="clear"/>
          </w:tcPr>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sz w:val="20"/>
                <w:szCs w:val="20"/>
                <w:rtl w:val="0"/>
              </w:rPr>
              <w:t xml:space="preserve">Level</w:t>
            </w:r>
            <w:r w:rsidDel="00000000" w:rsidR="00000000" w:rsidRPr="00000000">
              <w:rPr>
                <w:rtl w:val="0"/>
              </w:rPr>
            </w:r>
          </w:p>
        </w:tc>
        <w:tc>
          <w:tcPr>
            <w:shd w:fill="d9d9d9" w:val="clear"/>
          </w:tcPr>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sz w:val="20"/>
                <w:szCs w:val="20"/>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sz w:val="20"/>
                <w:szCs w:val="20"/>
                <w:rtl w:val="0"/>
              </w:rPr>
              <w:t xml:space="preserve">Not Compliant</w:t>
            </w:r>
            <w:r w:rsidDel="00000000" w:rsidR="00000000" w:rsidRPr="00000000">
              <w:rPr>
                <w:rtl w:val="0"/>
              </w:rPr>
            </w:r>
          </w:p>
        </w:tc>
        <w:tc>
          <w:tcPr/>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sz w:val="20"/>
                <w:szCs w:val="20"/>
                <w:rtl w:val="0"/>
              </w:rPr>
              <w:t xml:space="preserve">No implementation or documentation exists for the control.</w:t>
            </w:r>
            <w:r w:rsidDel="00000000" w:rsidR="00000000" w:rsidRPr="00000000">
              <w:rPr>
                <w:rtl w:val="0"/>
              </w:rPr>
            </w:r>
          </w:p>
        </w:tc>
      </w:tr>
      <w:tr>
        <w:trPr>
          <w:cantSplit w:val="0"/>
          <w:tblHeader w:val="0"/>
        </w:trPr>
        <w:tc>
          <w:tcPr/>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sz w:val="20"/>
                <w:szCs w:val="20"/>
                <w:rtl w:val="0"/>
              </w:rPr>
              <w:t xml:space="preserve">Partially Compliant</w:t>
            </w:r>
            <w:r w:rsidDel="00000000" w:rsidR="00000000" w:rsidRPr="00000000">
              <w:rPr>
                <w:rtl w:val="0"/>
              </w:rPr>
            </w:r>
          </w:p>
        </w:tc>
        <w:tc>
          <w:tcPr/>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sz w:val="20"/>
                <w:szCs w:val="20"/>
                <w:rtl w:val="0"/>
              </w:rPr>
              <w:t xml:space="preserve">Initial work has started, but gaps remain in documentation, consistency, or coverage.</w:t>
            </w:r>
            <w:r w:rsidDel="00000000" w:rsidR="00000000" w:rsidRPr="00000000">
              <w:rPr>
                <w:rtl w:val="0"/>
              </w:rPr>
            </w:r>
          </w:p>
        </w:tc>
      </w:tr>
      <w:tr>
        <w:trPr>
          <w:cantSplit w:val="0"/>
          <w:tblHeader w:val="0"/>
        </w:trPr>
        <w:tc>
          <w:tcPr/>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sz w:val="20"/>
                <w:szCs w:val="20"/>
                <w:rtl w:val="0"/>
              </w:rPr>
              <w:t xml:space="preserve">Mostly Compliant</w:t>
            </w:r>
            <w:r w:rsidDel="00000000" w:rsidR="00000000" w:rsidRPr="00000000">
              <w:rPr>
                <w:rtl w:val="0"/>
              </w:rPr>
            </w:r>
          </w:p>
        </w:tc>
        <w:tc>
          <w:tcPr/>
          <w:p w:rsidR="00000000" w:rsidDel="00000000" w:rsidP="00000000" w:rsidRDefault="00000000" w:rsidRPr="00000000" w14:paraId="00000020">
            <w:pPr>
              <w:rPr>
                <w:rFonts w:ascii="Arial" w:cs="Arial" w:eastAsia="Arial" w:hAnsi="Arial"/>
              </w:rPr>
            </w:pPr>
            <w:r w:rsidDel="00000000" w:rsidR="00000000" w:rsidRPr="00000000">
              <w:rPr>
                <w:rFonts w:ascii="Arial" w:cs="Arial" w:eastAsia="Arial" w:hAnsi="Arial"/>
                <w:sz w:val="20"/>
                <w:szCs w:val="20"/>
                <w:rtl w:val="0"/>
              </w:rPr>
              <w:t xml:space="preserve">The control is largely implemented, with only minor gaps or refinements needed.</w:t>
            </w:r>
            <w:r w:rsidDel="00000000" w:rsidR="00000000" w:rsidRPr="00000000">
              <w:rPr>
                <w:rtl w:val="0"/>
              </w:rPr>
            </w:r>
          </w:p>
        </w:tc>
      </w:tr>
      <w:tr>
        <w:trPr>
          <w:cantSplit w:val="0"/>
          <w:tblHeader w:val="0"/>
        </w:trPr>
        <w:tc>
          <w:tcPr/>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sz w:val="20"/>
                <w:szCs w:val="20"/>
                <w:rtl w:val="0"/>
              </w:rPr>
              <w:t xml:space="preserve">Fully Compliant</w:t>
            </w:r>
            <w:r w:rsidDel="00000000" w:rsidR="00000000" w:rsidRPr="00000000">
              <w:rPr>
                <w:rtl w:val="0"/>
              </w:rPr>
            </w:r>
          </w:p>
        </w:tc>
        <w:tc>
          <w:tcPr/>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sz w:val="20"/>
                <w:szCs w:val="20"/>
                <w:rtl w:val="0"/>
              </w:rPr>
              <w:t xml:space="preserve">The control is mature, consistently followed, and regularly reviewed across the organization.</w:t>
            </w:r>
            <w:r w:rsidDel="00000000" w:rsidR="00000000" w:rsidRPr="00000000">
              <w:rPr>
                <w:rtl w:val="0"/>
              </w:rPr>
            </w:r>
          </w:p>
        </w:tc>
      </w:tr>
    </w:tbl>
    <w:p w:rsidR="00000000" w:rsidDel="00000000" w:rsidP="00000000" w:rsidRDefault="00000000" w:rsidRPr="00000000" w14:paraId="00000023">
      <w:pPr>
        <w:spacing w:after="180" w:before="140" w:lineRule="auto"/>
        <w:rPr>
          <w:rFonts w:ascii="Arial" w:cs="Arial" w:eastAsia="Arial" w:hAnsi="Arial"/>
        </w:rPr>
      </w:pPr>
      <w:r w:rsidDel="00000000" w:rsidR="00000000" w:rsidRPr="00000000">
        <w:rPr>
          <w:rFonts w:ascii="Arial" w:cs="Arial" w:eastAsia="Arial" w:hAnsi="Arial"/>
          <w:rtl w:val="0"/>
        </w:rPr>
        <w:t xml:space="preserve">Together, these two tables give a clear, auditable, and risk-informed view of both control applicability and implementation maturity, supporting regulatory compliance, continuous improvement, and informed management oversight.</w:t>
      </w:r>
    </w:p>
    <w:p w:rsidR="00000000" w:rsidDel="00000000" w:rsidP="00000000" w:rsidRDefault="00000000" w:rsidRPr="00000000" w14:paraId="00000024">
      <w:pPr>
        <w:pStyle w:val="Heading1"/>
        <w:spacing w:after="70" w:before="100" w:lineRule="auto"/>
        <w:rPr>
          <w:rFonts w:ascii="Montserrat SemiBold" w:cs="Montserrat SemiBold" w:eastAsia="Montserrat SemiBold" w:hAnsi="Montserrat SemiBold"/>
          <w:color w:val="000000"/>
        </w:rPr>
      </w:pPr>
      <w:r w:rsidDel="00000000" w:rsidR="00000000" w:rsidRPr="00000000">
        <w:rPr>
          <w:rFonts w:ascii="Montserrat SemiBold" w:cs="Montserrat SemiBold" w:eastAsia="Montserrat SemiBold" w:hAnsi="Montserrat SemiBold"/>
          <w:color w:val="000000"/>
          <w:rtl w:val="0"/>
        </w:rPr>
        <w:t xml:space="preserve">6. Why PISF Matters</w:t>
      </w:r>
    </w:p>
    <w:p w:rsidR="00000000" w:rsidDel="00000000" w:rsidP="00000000" w:rsidRDefault="00000000" w:rsidRPr="00000000" w14:paraId="00000025">
      <w:pPr>
        <w:spacing w:after="160" w:lineRule="auto"/>
        <w:rPr>
          <w:rFonts w:ascii="Arial" w:cs="Arial" w:eastAsia="Arial" w:hAnsi="Arial"/>
        </w:rPr>
      </w:pPr>
      <w:r w:rsidDel="00000000" w:rsidR="00000000" w:rsidRPr="00000000">
        <w:rPr>
          <w:rFonts w:ascii="Arial" w:cs="Arial" w:eastAsia="Arial" w:hAnsi="Arial"/>
          <w:rtl w:val="0"/>
        </w:rPr>
        <w:t xml:space="preserve">PISF gives Pakistan's public &amp; private sector a standardized, enforceable baseline for information security at a time when government systems and critical infrastructure are increasingly targeted by cyber threats. By embedding governance, risk management, training, and audit into a single national framework — rather than leaving security practices to individual departments — PISF aims to close gaps in coordination that earlier assessments of Pakistan's cybersecurity landscape had identified as a key weakness. For GRC professionals, PISF represents a concrete, locally applicable framework to practice the same skills used internationally: scoping, control mapping, maturity assessment, and audit preparation.</w:t>
      </w:r>
    </w:p>
    <w:p w:rsidR="00000000" w:rsidDel="00000000" w:rsidP="00000000" w:rsidRDefault="00000000" w:rsidRPr="00000000" w14:paraId="00000026">
      <w:pPr>
        <w:rPr>
          <w:rFonts w:ascii="Montserrat SemiBold" w:cs="Montserrat SemiBold" w:eastAsia="Montserrat SemiBold" w:hAnsi="Montserrat SemiBold"/>
        </w:rPr>
      </w:pPr>
      <w:r w:rsidDel="00000000" w:rsidR="00000000" w:rsidRPr="00000000">
        <w:rPr>
          <w:rtl w:val="0"/>
        </w:rPr>
      </w:r>
    </w:p>
    <w:sectPr>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