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139.00000000000003" w:lineRule="auto"/>
        <w:ind w:firstLine="219"/>
        <w:rPr>
          <w:color w:val="1a242f"/>
        </w:rPr>
      </w:pPr>
      <w:r w:rsidDel="00000000" w:rsidR="00000000" w:rsidRPr="00000000">
        <w:rPr>
          <w:color w:val="1a242f"/>
          <w:rtl w:val="0"/>
        </w:rPr>
        <w:t xml:space="preserve">Atmosphere in Numbers: Learning Air Quality</w:t>
      </w:r>
    </w:p>
    <w:p w:rsidR="00000000" w:rsidDel="00000000" w:rsidP="00000000" w:rsidRDefault="00000000" w:rsidRPr="00000000" w14:paraId="00000002">
      <w:pPr>
        <w:pStyle w:val="Heading1"/>
        <w:spacing w:line="139.00000000000003" w:lineRule="auto"/>
        <w:ind w:firstLine="219"/>
        <w:rPr>
          <w:color w:val="1a242f"/>
        </w:rPr>
      </w:pPr>
      <w:r w:rsidDel="00000000" w:rsidR="00000000" w:rsidRPr="00000000">
        <w:rPr>
          <w:color w:val="1a242f"/>
          <w:rtl w:val="0"/>
        </w:rPr>
        <w:t xml:space="preserve"> Patterns from Satellite Data</w:t>
      </w:r>
    </w:p>
    <w:p w:rsidR="00000000" w:rsidDel="00000000" w:rsidP="00000000" w:rsidRDefault="00000000" w:rsidRPr="00000000" w14:paraId="00000003">
      <w:pPr>
        <w:pStyle w:val="Heading1"/>
        <w:spacing w:line="139.00000000000003" w:lineRule="auto"/>
        <w:ind w:firstLine="219"/>
        <w:rPr>
          <w:color w:val="1a242f"/>
        </w:rPr>
      </w:pPr>
      <w:r w:rsidDel="00000000" w:rsidR="00000000" w:rsidRPr="00000000">
        <w:rPr>
          <w:rtl w:val="0"/>
        </w:rPr>
      </w:r>
    </w:p>
    <w:p w:rsidR="00000000" w:rsidDel="00000000" w:rsidP="00000000" w:rsidRDefault="00000000" w:rsidRPr="00000000" w14:paraId="00000004">
      <w:pPr>
        <w:spacing w:before="0" w:line="182" w:lineRule="auto"/>
        <w:ind w:left="219" w:right="219" w:firstLine="0"/>
        <w:jc w:val="center"/>
        <w:rPr>
          <w:sz w:val="18"/>
          <w:szCs w:val="18"/>
        </w:rPr>
      </w:pPr>
      <w:r w:rsidDel="00000000" w:rsidR="00000000" w:rsidRPr="00000000">
        <w:rPr>
          <w:color w:val="7e8c8c"/>
          <w:sz w:val="18"/>
          <w:szCs w:val="18"/>
          <w:rtl w:val="0"/>
        </w:rPr>
        <w:t xml:space="preserve">A Machine Learning Study on Delhi Hourly AQI Data (2023)</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256539</wp:posOffset>
                </wp:positionH>
                <wp:positionV relativeFrom="paragraph">
                  <wp:posOffset>137160</wp:posOffset>
                </wp:positionV>
                <wp:extent cx="5607685" cy="25400"/>
                <wp:effectExtent b="0" l="0" r="0" t="0"/>
                <wp:wrapTopAndBottom distB="0" distT="0"/>
                <wp:docPr id="2" name=""/>
                <a:graphic>
                  <a:graphicData uri="http://schemas.microsoft.com/office/word/2010/wordprocessingShape">
                    <wps:wsp>
                      <wps:cNvSpPr/>
                      <wps:cNvPr id="3" name="Shape 3"/>
                      <wps:spPr>
                        <a:xfrm>
                          <a:off x="2542158" y="3779365"/>
                          <a:ext cx="5607685" cy="1270"/>
                        </a:xfrm>
                        <a:custGeom>
                          <a:rect b="b" l="l" r="r" t="t"/>
                          <a:pathLst>
                            <a:path extrusionOk="0" h="120000" w="5607685">
                              <a:moveTo>
                                <a:pt x="0" y="0"/>
                              </a:moveTo>
                              <a:lnTo>
                                <a:pt x="5607599" y="0"/>
                              </a:lnTo>
                            </a:path>
                          </a:pathLst>
                        </a:custGeom>
                        <a:noFill/>
                        <a:ln cap="flat" cmpd="sng" w="25400">
                          <a:solidFill>
                            <a:srgbClr val="BF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256539</wp:posOffset>
                </wp:positionH>
                <wp:positionV relativeFrom="paragraph">
                  <wp:posOffset>137160</wp:posOffset>
                </wp:positionV>
                <wp:extent cx="5607685" cy="254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07685" cy="25400"/>
                        </a:xfrm>
                        <a:prstGeom prst="rect"/>
                        <a:ln/>
                      </pic:spPr>
                    </pic:pic>
                  </a:graphicData>
                </a:graphic>
              </wp:anchor>
            </w:drawing>
          </mc:Fallback>
        </mc:AlternateContent>
      </w:r>
    </w:p>
    <w:p w:rsidR="00000000" w:rsidDel="00000000" w:rsidP="00000000" w:rsidRDefault="00000000" w:rsidRPr="00000000" w14:paraId="00000005">
      <w:pPr>
        <w:spacing w:before="110" w:lineRule="auto"/>
        <w:ind w:left="219" w:right="219" w:firstLine="0"/>
        <w:jc w:val="center"/>
        <w:rPr>
          <w:sz w:val="16"/>
          <w:szCs w:val="16"/>
        </w:rPr>
      </w:pPr>
      <w:r w:rsidDel="00000000" w:rsidR="00000000" w:rsidRPr="00000000">
        <w:rPr>
          <w:color w:val="7e8c8c"/>
          <w:sz w:val="16"/>
          <w:szCs w:val="16"/>
          <w:rtl w:val="0"/>
        </w:rPr>
        <w:t xml:space="preserve">Department of Data Science | Research Paper | April 2026</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256539</wp:posOffset>
                </wp:positionH>
                <wp:positionV relativeFrom="paragraph">
                  <wp:posOffset>80010</wp:posOffset>
                </wp:positionV>
                <wp:extent cx="5607685" cy="12700"/>
                <wp:effectExtent b="0" l="0" r="0" t="0"/>
                <wp:wrapTopAndBottom distB="0" distT="0"/>
                <wp:docPr id="1" name=""/>
                <a:graphic>
                  <a:graphicData uri="http://schemas.microsoft.com/office/word/2010/wordprocessingShape">
                    <wps:wsp>
                      <wps:cNvSpPr/>
                      <wps:cNvPr id="2" name="Shape 2"/>
                      <wps:spPr>
                        <a:xfrm>
                          <a:off x="2542158" y="3779365"/>
                          <a:ext cx="5607685" cy="1270"/>
                        </a:xfrm>
                        <a:custGeom>
                          <a:rect b="b" l="l" r="r" t="t"/>
                          <a:pathLst>
                            <a:path extrusionOk="0" h="120000" w="5607685">
                              <a:moveTo>
                                <a:pt x="0" y="0"/>
                              </a:moveTo>
                              <a:lnTo>
                                <a:pt x="5607599" y="0"/>
                              </a:lnTo>
                            </a:path>
                          </a:pathLst>
                        </a:custGeom>
                        <a:noFill/>
                        <a:ln cap="flat" cmpd="sng" w="9525">
                          <a:solidFill>
                            <a:srgbClr val="EBEFF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256539</wp:posOffset>
                </wp:positionH>
                <wp:positionV relativeFrom="paragraph">
                  <wp:posOffset>80010</wp:posOffset>
                </wp:positionV>
                <wp:extent cx="560768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07685" cy="12700"/>
                        </a:xfrm>
                        <a:prstGeom prst="rect"/>
                        <a:ln/>
                      </pic:spPr>
                    </pic:pic>
                  </a:graphicData>
                </a:graphic>
              </wp:anchor>
            </w:drawing>
          </mc:Fallback>
        </mc:AlternateContent>
      </w:r>
    </w:p>
    <w:p w:rsidR="00000000" w:rsidDel="00000000" w:rsidP="00000000" w:rsidRDefault="00000000" w:rsidRPr="00000000" w14:paraId="00000007">
      <w:pPr>
        <w:pStyle w:val="Heading2"/>
        <w:spacing w:before="291" w:lineRule="auto"/>
        <w:ind w:left="404" w:firstLine="0"/>
        <w:rPr/>
      </w:pPr>
      <w:r w:rsidDel="00000000" w:rsidR="00000000" w:rsidRPr="00000000">
        <w:rPr>
          <w:color w:val="bf382a"/>
          <w:rtl w:val="0"/>
        </w:rPr>
        <w:t xml:space="preserve">Abstract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bookmarkStart w:colFirst="0" w:colLast="0" w:name="_o3jq4g42sz56" w:id="0"/>
      <w:bookmarkEnd w:id="0"/>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Air quality degradation in South Asian mega-cities represents one of the most pressing environmental crises of the 21st century. Delhi, India, and the broader Indo-Gangetic Plain consistently record Air Quality Index (AQI) values 5–20 times the World Health Organization's safe thresholds. This paper presents a comprehensive machine learning framework for predicting AQI categories from hourly atmospheric pollutant measurements derived from satellite and ground-based sensors. We apply four classification algorithms — Random Forest, Gradient Boosting, Support Vector Machine, and K-Nearest Neighbors — to the Delhi 2023 hourly dataset spanning January, comprising 561 observations across 8 pollutant channels. Through systematic feature engineering (temporal cyclic encoding, pollutant interaction ratios) and hyperparameter tuning via GridSearchCV, tree-ensemble models achieved near-perfect classification accuracy (F1 = 1.00) while SVM and KNN scored 0.</w:t>
      </w:r>
      <w:r w:rsidDel="00000000" w:rsidR="00000000" w:rsidRPr="00000000">
        <w:rPr>
          <w:sz w:val="19"/>
          <w:szCs w:val="19"/>
          <w:rtl w:val="0"/>
        </w:rPr>
        <w:t xml:space="preserve">9646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0.</w:t>
      </w:r>
      <w:r w:rsidDel="00000000" w:rsidR="00000000" w:rsidRPr="00000000">
        <w:rPr>
          <w:sz w:val="19"/>
          <w:szCs w:val="19"/>
          <w:rtl w:val="0"/>
        </w:rPr>
        <w:t xml:space="preserve">9027</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respectively. Analysis reveals PM2.5 as the dominant predictor, diurnal peaks at 02:00–05:00 due to atmospheric inversion, and strong co-variation between CO, NO2, and particulate matter. These findings have direct implications for Urban Heat Island research, climate change adaptation, and real-time air quality early warning systems.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Air Quality Index, PM2.5, Machine Learning, Delhi, Urban Heat Island, Atmospheric Pollutants, Classification, Random Forest, Gradient Boosting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256539</wp:posOffset>
                </wp:positionH>
                <wp:positionV relativeFrom="paragraph">
                  <wp:posOffset>69215</wp:posOffset>
                </wp:positionV>
                <wp:extent cx="5607685" cy="12700"/>
                <wp:effectExtent b="0" l="0" r="0" t="0"/>
                <wp:wrapTopAndBottom distB="0" distT="0"/>
                <wp:docPr id="4" name=""/>
                <a:graphic>
                  <a:graphicData uri="http://schemas.microsoft.com/office/word/2010/wordprocessingShape">
                    <wps:wsp>
                      <wps:cNvSpPr/>
                      <wps:cNvPr id="5" name="Shape 5"/>
                      <wps:spPr>
                        <a:xfrm>
                          <a:off x="2542158" y="3779365"/>
                          <a:ext cx="5607685" cy="1270"/>
                        </a:xfrm>
                        <a:custGeom>
                          <a:rect b="b" l="l" r="r" t="t"/>
                          <a:pathLst>
                            <a:path extrusionOk="0" h="120000" w="5607685">
                              <a:moveTo>
                                <a:pt x="0" y="0"/>
                              </a:moveTo>
                              <a:lnTo>
                                <a:pt x="5607599" y="0"/>
                              </a:lnTo>
                            </a:path>
                          </a:pathLst>
                        </a:custGeom>
                        <a:noFill/>
                        <a:ln cap="flat" cmpd="sng" w="9525">
                          <a:solidFill>
                            <a:srgbClr val="EBEFF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256539</wp:posOffset>
                </wp:positionH>
                <wp:positionV relativeFrom="paragraph">
                  <wp:posOffset>69215</wp:posOffset>
                </wp:positionV>
                <wp:extent cx="5607685"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07685" cy="12700"/>
                        </a:xfrm>
                        <a:prstGeom prst="rect"/>
                        <a:ln/>
                      </pic:spPr>
                    </pic:pic>
                  </a:graphicData>
                </a:graphic>
              </wp:anchor>
            </w:drawing>
          </mc:Fallback>
        </mc:AlternateContent>
      </w:r>
    </w:p>
    <w:p w:rsidR="00000000" w:rsidDel="00000000" w:rsidP="00000000" w:rsidRDefault="00000000" w:rsidRPr="00000000" w14:paraId="0000000B">
      <w:pPr>
        <w:pStyle w:val="Heading2"/>
        <w:numPr>
          <w:ilvl w:val="0"/>
          <w:numId w:val="1"/>
        </w:numPr>
        <w:tabs>
          <w:tab w:val="left" w:leader="none" w:pos="693"/>
        </w:tabs>
        <w:spacing w:after="0" w:before="291" w:line="240" w:lineRule="auto"/>
        <w:ind w:left="693" w:right="0" w:hanging="289"/>
        <w:jc w:val="left"/>
        <w:rPr/>
      </w:pPr>
      <w:r w:rsidDel="00000000" w:rsidR="00000000" w:rsidRPr="00000000">
        <w:rPr>
          <w:color w:val="bf382a"/>
          <w:rtl w:val="0"/>
        </w:rPr>
        <w:t xml:space="preserve">Introduction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06.99999999999994" w:lineRule="auto"/>
        <w:ind w:left="404" w:right="393"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Urbanization, industrial activity, and vehicular emissions have dramatically deteriorated air quality across South Asian cities. Delhi's air quality crisis is particularly acute: the city experiences an extended 'smog season' from October to February each year, during which PM2.5 concentrations regularly exceed 200–400 µg/m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 far above the WHO annual guideline of 5 µg/m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The interaction between Urban Heat Island (UHI) effects, stable atmospheric boundary layers, and trans-boundary pollution from crop burning further exacerbates local air quality.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80"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Satellite remote sensing platforms such as Sentinel-5P (TROPOMI) and MODIS have made it possible to retrieve column concentrations of CO, NO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and 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near-daily global coverage. Combined with ground-based PM2.5 and PM10 observations, these datasets enable machine learning models to learn complex, non-linear relationships between atmospheric variables and human health risk categories.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study addresses three research questions: (1) Which ML algorithm best classifies AQI category from multi-pollutant satellite-proxy data? (2) Which pollutants and temporal features are most predictive of hazardous air quality? (3) What diurnal and seasonal patterns emerge from the data that can inform pollution mitigation strategies?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693"/>
        </w:tabs>
        <w:spacing w:after="0" w:before="0" w:line="240" w:lineRule="auto"/>
        <w:ind w:left="693" w:right="0" w:hanging="289"/>
        <w:jc w:val="left"/>
        <w:rPr/>
      </w:pPr>
      <w:r w:rsidDel="00000000" w:rsidR="00000000" w:rsidRPr="00000000">
        <w:rPr>
          <w:color w:val="bf382a"/>
          <w:rtl w:val="0"/>
        </w:rPr>
        <w:t xml:space="preserve">Related Work</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sectPr>
          <w:pgSz w:h="16840" w:w="11910" w:orient="portrait"/>
          <w:pgMar w:bottom="280" w:top="1640" w:left="1133" w:right="1133" w:header="720" w:footer="720"/>
          <w:pgNumType w:start="1"/>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Several studies have applied machine learning to air quality prediction. Ong et al. (2016) demonstrated that Random Forests outperform linear regression for PM2.5 forecasting in urban environments. Li et al. (2020) used gradient boosting to integrate satellite AOD (Aerosol Optical Depth) with meteorological variables, achieving R</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&gt; 0.85 for daily PM2.5 estimates. Deep learning approaches (LSTM, CNN-LSTM) have also been explored for time-series AQI forecasting with multi-hour lead times. However, most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studies focus on regression rather than actionable AQI category prediction, and few exploit pollutant interaction features or cyclic temporal encodings that better capture diurnal atmospheric chemistry dynamics.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numPr>
          <w:ilvl w:val="0"/>
          <w:numId w:val="1"/>
        </w:numPr>
        <w:tabs>
          <w:tab w:val="left" w:leader="none" w:pos="693"/>
        </w:tabs>
        <w:spacing w:after="0" w:before="0" w:line="240" w:lineRule="auto"/>
        <w:ind w:left="693" w:right="0" w:hanging="289"/>
        <w:jc w:val="left"/>
        <w:rPr/>
      </w:pPr>
      <w:r w:rsidDel="00000000" w:rsidR="00000000" w:rsidRPr="00000000">
        <w:rPr>
          <w:color w:val="bf382a"/>
          <w:rtl w:val="0"/>
        </w:rPr>
        <w:t xml:space="preserve">Dataset Description</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60" w:lineRule="auto"/>
        <w:ind w:left="404" w:right="394"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 was sourced from OpenWeatherMap's Air Pollution API and contains 561 hourly observations for New Delhi, India (January 1–24, 2023). Each record includes timestamp and concentrations of eight atmospheric pollutants: carbon monoxide (CO, µg/m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nitric oxide (NO, µg/m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04"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nitrogen dioxide (NO3 , µg/m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ozone (O3 , µg/m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sulphur dioxide (SO2 , µg/m</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fine particulate matter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0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(PM2.5, µg/m^3 ), coarse particulate matter (PM10, µg/m^3 ), and ammonia (NH</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µg/m^3 ).</w:t>
      </w:r>
    </w:p>
    <w:p w:rsidR="00000000" w:rsidDel="00000000" w:rsidP="00000000" w:rsidRDefault="00000000" w:rsidRPr="00000000" w14:paraId="00000018">
      <w:pPr>
        <w:spacing w:before="89" w:lineRule="auto"/>
        <w:ind w:left="219" w:right="219" w:firstLine="0"/>
        <w:jc w:val="center"/>
        <w:rPr>
          <w:rFonts w:ascii="Arial" w:cs="Arial" w:eastAsia="Arial" w:hAnsi="Arial"/>
          <w:i w:val="1"/>
          <w:iCs w:val="1"/>
          <w:sz w:val="17"/>
          <w:szCs w:val="17"/>
        </w:rPr>
      </w:pPr>
      <w:r w:rsidDel="00000000" w:rsidR="00000000" w:rsidRPr="00000000">
        <w:rPr>
          <w:rFonts w:ascii="Arial" w:cs="Arial" w:eastAsia="Arial" w:hAnsi="Arial"/>
          <w:i w:val="1"/>
          <w:iCs w:val="1"/>
          <w:color w:val="7e8c8c"/>
          <w:sz w:val="17"/>
          <w:szCs w:val="17"/>
          <w:rtl w:val="0"/>
        </w:rPr>
        <w:t xml:space="preserve">Table 1: Dataset Summary Statistics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1"/>
        <w:tblW w:w="7370.0" w:type="dxa"/>
        <w:jc w:val="left"/>
        <w:tblInd w:w="1139.0" w:type="dxa"/>
        <w:tblBorders>
          <w:top w:color="bcc3c6" w:space="0" w:sz="4" w:val="single"/>
          <w:left w:color="bcc3c6" w:space="0" w:sz="4" w:val="single"/>
          <w:bottom w:color="bcc3c6" w:space="0" w:sz="4" w:val="single"/>
          <w:right w:color="bcc3c6" w:space="0" w:sz="4" w:val="single"/>
          <w:insideH w:color="bcc3c6" w:space="0" w:sz="4" w:val="single"/>
          <w:insideV w:color="bcc3c6" w:space="0" w:sz="4" w:val="single"/>
        </w:tblBorders>
        <w:tblLayout w:type="fixed"/>
        <w:tblLook w:val="0000"/>
      </w:tblPr>
      <w:tblGrid>
        <w:gridCol w:w="1417"/>
        <w:gridCol w:w="1134"/>
        <w:gridCol w:w="1134"/>
        <w:gridCol w:w="1134"/>
        <w:gridCol w:w="1134"/>
        <w:gridCol w:w="1417"/>
        <w:tblGridChange w:id="0">
          <w:tblGrid>
            <w:gridCol w:w="1417"/>
            <w:gridCol w:w="1134"/>
            <w:gridCol w:w="1134"/>
            <w:gridCol w:w="1134"/>
            <w:gridCol w:w="1134"/>
            <w:gridCol w:w="1417"/>
          </w:tblGrid>
        </w:tblGridChange>
      </w:tblGrid>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shd w:fill="1a242f" w:val="clear"/>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Pollutant</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1a242f" w:val="clear"/>
            <w:tcMar>
              <w:top w:w="0.0" w:type="dxa"/>
              <w:left w:w="0.0" w:type="dxa"/>
              <w:bottom w:w="0.0" w:type="dxa"/>
              <w:right w:w="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Unit</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1a242f" w:val="clear"/>
            <w:tcMar>
              <w:top w:w="0.0" w:type="dxa"/>
              <w:left w:w="0.0" w:type="dxa"/>
              <w:bottom w:w="0.0" w:type="dxa"/>
              <w:right w:w="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Mean</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1a242f" w:val="clear"/>
            <w:tcMar>
              <w:top w:w="0.0" w:type="dxa"/>
              <w:left w:w="0.0" w:type="dxa"/>
              <w:bottom w:w="0.0" w:type="dxa"/>
              <w:right w:w="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69" w:firstLine="0"/>
              <w:jc w:val="righ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Std Dev</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1a242f" w:val="clear"/>
            <w:tcMar>
              <w:top w:w="0.0" w:type="dxa"/>
              <w:left w:w="0.0" w:type="dxa"/>
              <w:bottom w:w="0.0" w:type="dxa"/>
              <w:right w:w="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Min</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1a242f" w:val="clear"/>
            <w:tcMar>
              <w:top w:w="0.0" w:type="dxa"/>
              <w:left w:w="0.0" w:type="dxa"/>
              <w:bottom w:w="0.0" w:type="dxa"/>
              <w:right w:w="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1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Max</w:t>
            </w:r>
            <w:r w:rsidDel="00000000" w:rsidR="00000000" w:rsidRPr="00000000">
              <w:rPr>
                <w:rtl w:val="0"/>
              </w:rPr>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07"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3814.9</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295"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3227.7</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5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654.2</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0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16876.2</w:t>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51.2</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89"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83.9</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0.0</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425.6</w:t>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0" w:right="0" w:firstLine="0"/>
              <w:jc w:val="left"/>
              <w:rPr>
                <w:rFonts w:ascii="MS Gothic" w:cs="MS Gothic" w:eastAsia="MS Gothic" w:hAnsi="MS Gothic"/>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NO3</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59.3</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89"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25.6</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11.6</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113.3</w:t>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0" w:right="0" w:firstLine="0"/>
              <w:jc w:val="left"/>
              <w:rPr>
                <w:rFonts w:ascii="MS Gothic" w:cs="MS Gothic" w:eastAsia="MS Gothic" w:hAnsi="MS Gothic"/>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O3</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29.2</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89"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29.1</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0.0</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113.5</w:t>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0" w:right="0" w:firstLine="0"/>
              <w:jc w:val="left"/>
              <w:rPr>
                <w:rFonts w:ascii="MS Gothic" w:cs="MS Gothic" w:eastAsia="MS Gothic" w:hAnsi="MS Gothic"/>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SO2</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22.9</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89"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13.8</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3.0</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78.6</w:t>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PM2.5</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5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266.1</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89"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93.7</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47.5</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500+</w:t>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PM10</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54"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421.0</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42"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271.3</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69.1</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44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1499.3</w:t>
            </w:r>
          </w:p>
        </w:tc>
      </w:tr>
      <w:tr>
        <w:trPr>
          <w:cantSplit w:val="0"/>
          <w:trHeight w:val="390" w:hRule="atLeast"/>
          <w:tblHeader w:val="0"/>
        </w:trPr>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0" w:right="0" w:firstLine="0"/>
              <w:jc w:val="left"/>
              <w:rPr>
                <w:rFonts w:ascii="MS Gothic" w:cs="MS Gothic" w:eastAsia="MS Gothic" w:hAnsi="MS Gothic"/>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NH3</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34"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µg/m³</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26.4</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389" w:firstLine="0"/>
              <w:jc w:val="righ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36.6</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0.6</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267.5</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numPr>
          <w:ilvl w:val="0"/>
          <w:numId w:val="1"/>
        </w:numPr>
        <w:tabs>
          <w:tab w:val="left" w:leader="none" w:pos="693"/>
        </w:tabs>
        <w:spacing w:after="0" w:before="0" w:line="240" w:lineRule="auto"/>
        <w:ind w:left="693" w:right="0" w:hanging="289"/>
        <w:jc w:val="left"/>
        <w:rPr/>
      </w:pPr>
      <w:r w:rsidDel="00000000" w:rsidR="00000000" w:rsidRPr="00000000">
        <w:rPr>
          <w:color w:val="bf382a"/>
          <w:rtl w:val="0"/>
        </w:rPr>
        <w:t xml:space="preserve">Methodology</w:t>
      </w:r>
      <w:r w:rsidDel="00000000" w:rsidR="00000000" w:rsidRPr="00000000">
        <w:rPr>
          <w:rtl w:val="0"/>
        </w:rPr>
      </w:r>
    </w:p>
    <w:p w:rsidR="00000000" w:rsidDel="00000000" w:rsidP="00000000" w:rsidRDefault="00000000" w:rsidRPr="00000000" w14:paraId="00000053">
      <w:pPr>
        <w:pStyle w:val="Heading3"/>
        <w:numPr>
          <w:ilvl w:val="1"/>
          <w:numId w:val="1"/>
        </w:numPr>
        <w:tabs>
          <w:tab w:val="left" w:leader="none" w:pos="770"/>
        </w:tabs>
        <w:spacing w:after="0" w:before="98" w:line="240" w:lineRule="auto"/>
        <w:ind w:left="770" w:right="0" w:hanging="366"/>
        <w:jc w:val="left"/>
        <w:rPr/>
      </w:pPr>
      <w:r w:rsidDel="00000000" w:rsidR="00000000" w:rsidRPr="00000000">
        <w:rPr>
          <w:color w:val="1a242f"/>
          <w:rtl w:val="0"/>
        </w:rPr>
        <w:t xml:space="preserve">Data Preprocessing</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 contains no missing values, eliminating the need for imputation. All feature values were standardized using Z-score normalization (zero mean, unit variance) to ensure equitable feature weighting in distance-based and kernel algorithms such as KNN and SVM. The target variable AQI was derived from PM2.5 measurements using the US EPA's standard break-point formula, and subsequently categorized into three classes observed in the data: Unhealthy (AQI 151–200), Very Unhealthy (201–300), and Hazardous (AQI &gt; 300). Label encoding was applied for model compatibility.</w:t>
      </w:r>
    </w:p>
    <w:p w:rsidR="00000000" w:rsidDel="00000000" w:rsidP="00000000" w:rsidRDefault="00000000" w:rsidRPr="00000000" w14:paraId="00000055">
      <w:pPr>
        <w:pStyle w:val="Heading3"/>
        <w:numPr>
          <w:ilvl w:val="1"/>
          <w:numId w:val="1"/>
        </w:numPr>
        <w:tabs>
          <w:tab w:val="left" w:leader="none" w:pos="770"/>
        </w:tabs>
        <w:spacing w:after="0" w:before="164" w:line="240" w:lineRule="auto"/>
        <w:ind w:left="770" w:right="0" w:hanging="366"/>
        <w:jc w:val="left"/>
        <w:rPr/>
      </w:pPr>
      <w:r w:rsidDel="00000000" w:rsidR="00000000" w:rsidRPr="00000000">
        <w:rPr>
          <w:color w:val="1a242f"/>
          <w:rtl w:val="0"/>
        </w:rPr>
        <w:t xml:space="preserve">Feature Engineering</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Beyond the eight raw pollutant channels, six engineered features were constructed. (1)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Cyclic temporal encoding</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hour-of-day was mapped to sin/cos coordinates (hour_sin, hour_cos) to capture daily periodicity without artificial discontinuity at midnight. (2)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Day of week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captures weekday vs. weekend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6" w:lineRule="auto"/>
        <w:ind w:left="404"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emission patterns. (3)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CO/NO</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subscript"/>
          <w:rtl w:val="0"/>
        </w:rPr>
        <w:t xml:space="preserve">2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ratio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serves as a combustion source indicator — high ratios suggest fresh vehicle emissions. (4)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PM2.5/PM10 ratio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distinguishes fine particle dominance (combustion) from coarse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16" w:lineRule="auto"/>
        <w:ind w:left="404" w:right="6"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particle events (dust). (5)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Oxidant index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quantifies photochemical smog potential. The final feature matrix comprised 14 features per observation.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3"/>
        <w:numPr>
          <w:ilvl w:val="1"/>
          <w:numId w:val="1"/>
        </w:numPr>
        <w:tabs>
          <w:tab w:val="left" w:leader="none" w:pos="770"/>
        </w:tabs>
        <w:spacing w:after="0" w:before="1" w:line="240" w:lineRule="auto"/>
        <w:ind w:left="770" w:right="0" w:hanging="366"/>
        <w:jc w:val="left"/>
        <w:rPr/>
      </w:pPr>
      <w:r w:rsidDel="00000000" w:rsidR="00000000" w:rsidRPr="00000000">
        <w:rPr>
          <w:color w:val="1a242f"/>
          <w:rtl w:val="0"/>
        </w:rPr>
        <w:t xml:space="preserve">Model Selection</w:t>
      </w:r>
      <w:r w:rsidDel="00000000" w:rsidR="00000000" w:rsidRPr="00000000">
        <w:rPr>
          <w:rtl w:val="0"/>
        </w:rPr>
      </w:r>
    </w:p>
    <w:p w:rsidR="00000000" w:rsidDel="00000000" w:rsidP="00000000" w:rsidRDefault="00000000" w:rsidRPr="00000000" w14:paraId="0000005B">
      <w:pPr>
        <w:spacing w:before="45" w:line="306.99999999999994" w:lineRule="auto"/>
        <w:ind w:left="404" w:right="401" w:firstLine="0"/>
        <w:jc w:val="both"/>
        <w:rPr>
          <w:rFonts w:ascii="Arial" w:cs="Arial" w:eastAsia="Arial" w:hAnsi="Arial"/>
          <w:b w:val="1"/>
          <w:bCs w:val="1"/>
          <w:sz w:val="19"/>
          <w:szCs w:val="19"/>
        </w:rPr>
      </w:pPr>
      <w:r w:rsidDel="00000000" w:rsidR="00000000" w:rsidRPr="00000000">
        <w:rPr>
          <w:sz w:val="19"/>
          <w:szCs w:val="19"/>
          <w:rtl w:val="0"/>
        </w:rPr>
        <w:t xml:space="preserve">Four algorithms were selected to represent distinct learning paradigms: (1) </w:t>
      </w:r>
      <w:r w:rsidDel="00000000" w:rsidR="00000000" w:rsidRPr="00000000">
        <w:rPr>
          <w:rFonts w:ascii="Arial" w:cs="Arial" w:eastAsia="Arial" w:hAnsi="Arial"/>
          <w:b w:val="1"/>
          <w:bCs w:val="1"/>
          <w:sz w:val="19"/>
          <w:szCs w:val="19"/>
          <w:rtl w:val="0"/>
        </w:rPr>
        <w:t xml:space="preserve">Random Forest (RF) </w:t>
      </w:r>
      <w:r w:rsidDel="00000000" w:rsidR="00000000" w:rsidRPr="00000000">
        <w:rPr>
          <w:sz w:val="19"/>
          <w:szCs w:val="19"/>
          <w:rtl w:val="0"/>
        </w:rPr>
        <w:t xml:space="preserve">— ensemble of decision trees with bagging, robust to outliers and non-linearity; (2) </w:t>
      </w:r>
      <w:r w:rsidDel="00000000" w:rsidR="00000000" w:rsidRPr="00000000">
        <w:rPr>
          <w:rFonts w:ascii="Arial" w:cs="Arial" w:eastAsia="Arial" w:hAnsi="Arial"/>
          <w:b w:val="1"/>
          <w:bCs w:val="1"/>
          <w:sz w:val="19"/>
          <w:szCs w:val="19"/>
          <w:rtl w:val="0"/>
        </w:rPr>
        <w:t xml:space="preserve">Gradient Boosting (GB)</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280" w:top="1460" w:left="1133" w:right="1133" w:header="720" w:footer="720"/>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sequential boosting ensemble, excels at capturing complex feature interactions; (3)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Support Vector Machine (SVM)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maximum-margin classifier using RBF kernel for non-linear boundaries; (4)</w:t>
      </w:r>
    </w:p>
    <w:p w:rsidR="00000000" w:rsidDel="00000000" w:rsidP="00000000" w:rsidRDefault="00000000" w:rsidRPr="00000000" w14:paraId="0000005D">
      <w:pPr>
        <w:spacing w:before="71" w:line="306.99999999999994" w:lineRule="auto"/>
        <w:ind w:left="404" w:right="401" w:firstLine="0"/>
        <w:jc w:val="both"/>
        <w:rPr>
          <w:sz w:val="19"/>
          <w:szCs w:val="19"/>
        </w:rPr>
      </w:pPr>
      <w:r w:rsidDel="00000000" w:rsidR="00000000" w:rsidRPr="00000000">
        <w:rPr>
          <w:rFonts w:ascii="Arial" w:cs="Arial" w:eastAsia="Arial" w:hAnsi="Arial"/>
          <w:b w:val="1"/>
          <w:bCs w:val="1"/>
          <w:sz w:val="19"/>
          <w:szCs w:val="19"/>
          <w:rtl w:val="0"/>
        </w:rPr>
        <w:t xml:space="preserve">K-Nearest Neighbors (KNN) </w:t>
      </w:r>
      <w:r w:rsidDel="00000000" w:rsidR="00000000" w:rsidRPr="00000000">
        <w:rPr>
          <w:sz w:val="19"/>
          <w:szCs w:val="19"/>
          <w:rtl w:val="0"/>
        </w:rPr>
        <w:t xml:space="preserve">— instance-based learner, sensitive to feature scaling, providing a non-parametric baseline.</w:t>
      </w:r>
    </w:p>
    <w:p w:rsidR="00000000" w:rsidDel="00000000" w:rsidP="00000000" w:rsidRDefault="00000000" w:rsidRPr="00000000" w14:paraId="0000005E">
      <w:pPr>
        <w:pStyle w:val="Heading3"/>
        <w:numPr>
          <w:ilvl w:val="1"/>
          <w:numId w:val="1"/>
        </w:numPr>
        <w:tabs>
          <w:tab w:val="left" w:leader="none" w:pos="770"/>
        </w:tabs>
        <w:spacing w:after="0" w:before="163" w:line="240" w:lineRule="auto"/>
        <w:ind w:left="770" w:right="0" w:hanging="366"/>
        <w:jc w:val="left"/>
        <w:rPr/>
      </w:pPr>
      <w:r w:rsidDel="00000000" w:rsidR="00000000" w:rsidRPr="00000000">
        <w:rPr>
          <w:color w:val="1a242f"/>
          <w:rtl w:val="0"/>
        </w:rPr>
        <w:t xml:space="preserve">Hyperparameter Tuning</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90" w:lineRule="auto"/>
        <w:ind w:left="404" w:right="401" w:firstLine="0"/>
        <w:jc w:val="both"/>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GridSearchCV with 5-fold stratified cross-validation was applied to all models. RF search space: n_estimators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{100,200}, max_depth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{None,10,20}, min_samples_split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{2,5}. GB search space: n_estimators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{100,200}, learning_rate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{0.05,0.1,0.2}, max_depth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 SVM search space: C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{0.1,1,10}, kernel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{rbf, linear}, gamma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{scale, auto}. KNN search space: n_neighbors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{3,5,7,11}, weights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{uniform, distance}, metric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{euclidean, Manhattan}. F1-weighted was used as the optimization criterion.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numPr>
          <w:ilvl w:val="0"/>
          <w:numId w:val="1"/>
        </w:numPr>
        <w:tabs>
          <w:tab w:val="left" w:leader="none" w:pos="693"/>
        </w:tabs>
        <w:spacing w:after="0" w:before="1" w:line="240" w:lineRule="auto"/>
        <w:ind w:left="693" w:right="0" w:hanging="289"/>
        <w:jc w:val="left"/>
        <w:rPr/>
      </w:pPr>
      <w:r w:rsidDel="00000000" w:rsidR="00000000" w:rsidRPr="00000000">
        <w:rPr>
          <w:color w:val="bf382a"/>
          <w:rtl w:val="0"/>
        </w:rPr>
        <w:t xml:space="preserve">Results &amp; Evaluation</w:t>
      </w:r>
      <w:r w:rsidDel="00000000" w:rsidR="00000000" w:rsidRPr="00000000">
        <w:rPr>
          <w:rtl w:val="0"/>
        </w:rPr>
      </w:r>
    </w:p>
    <w:p w:rsidR="00000000" w:rsidDel="00000000" w:rsidP="00000000" w:rsidRDefault="00000000" w:rsidRPr="00000000" w14:paraId="00000063">
      <w:pPr>
        <w:pStyle w:val="Heading3"/>
        <w:numPr>
          <w:ilvl w:val="1"/>
          <w:numId w:val="1"/>
        </w:numPr>
        <w:tabs>
          <w:tab w:val="left" w:leader="none" w:pos="770"/>
        </w:tabs>
        <w:spacing w:after="0" w:before="98" w:line="240" w:lineRule="auto"/>
        <w:ind w:left="770" w:right="0" w:hanging="366"/>
        <w:jc w:val="left"/>
        <w:rPr/>
      </w:pPr>
      <w:r w:rsidDel="00000000" w:rsidR="00000000" w:rsidRPr="00000000">
        <w:rPr>
          <w:color w:val="1a242f"/>
          <w:rtl w:val="0"/>
        </w:rPr>
        <w:t xml:space="preserve">Comparative Model Performance</w:t>
      </w:r>
      <w:r w:rsidDel="00000000" w:rsidR="00000000" w:rsidRPr="00000000">
        <w:rPr>
          <w:rtl w:val="0"/>
        </w:rPr>
      </w:r>
    </w:p>
    <w:p w:rsidR="00000000" w:rsidDel="00000000" w:rsidP="00000000" w:rsidRDefault="00000000" w:rsidRPr="00000000" w14:paraId="00000064">
      <w:pPr>
        <w:spacing w:before="44" w:lineRule="auto"/>
        <w:ind w:left="219" w:right="219" w:firstLine="0"/>
        <w:jc w:val="center"/>
        <w:rPr>
          <w:rFonts w:ascii="Arial" w:cs="Arial" w:eastAsia="Arial" w:hAnsi="Arial"/>
          <w:i w:val="1"/>
          <w:iCs w:val="1"/>
          <w:sz w:val="17"/>
          <w:szCs w:val="17"/>
        </w:rPr>
      </w:pPr>
      <w:r w:rsidDel="00000000" w:rsidR="00000000" w:rsidRPr="00000000">
        <w:rPr>
          <w:rFonts w:ascii="Arial" w:cs="Arial" w:eastAsia="Arial" w:hAnsi="Arial"/>
          <w:i w:val="1"/>
          <w:iCs w:val="1"/>
          <w:color w:val="7e8c8c"/>
          <w:sz w:val="17"/>
          <w:szCs w:val="17"/>
          <w:rtl w:val="0"/>
        </w:rPr>
        <w:t xml:space="preserve">Table 2: Comparative Model Evaluation Results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p>
    <w:tbl>
      <w:tblPr>
        <w:tblStyle w:val="Table2"/>
        <w:tblW w:w="9351.0" w:type="dxa"/>
        <w:jc w:val="left"/>
        <w:tblInd w:w="147.0" w:type="dxa"/>
        <w:tblBorders>
          <w:top w:color="bcc3c6" w:space="0" w:sz="4" w:val="single"/>
          <w:left w:color="bcc3c6" w:space="0" w:sz="4" w:val="single"/>
          <w:bottom w:color="bcc3c6" w:space="0" w:sz="4" w:val="single"/>
          <w:right w:color="bcc3c6" w:space="0" w:sz="4" w:val="single"/>
          <w:insideH w:color="bcc3c6" w:space="0" w:sz="4" w:val="single"/>
          <w:insideV w:color="bcc3c6" w:space="0" w:sz="4" w:val="single"/>
        </w:tblBorders>
        <w:tblLayout w:type="fixed"/>
        <w:tblLook w:val="0000"/>
      </w:tblPr>
      <w:tblGrid>
        <w:gridCol w:w="2551"/>
        <w:gridCol w:w="1360"/>
        <w:gridCol w:w="1360"/>
        <w:gridCol w:w="1360"/>
        <w:gridCol w:w="1360"/>
        <w:gridCol w:w="1360"/>
        <w:tblGridChange w:id="0">
          <w:tblGrid>
            <w:gridCol w:w="2551"/>
            <w:gridCol w:w="1360"/>
            <w:gridCol w:w="1360"/>
            <w:gridCol w:w="1360"/>
            <w:gridCol w:w="1360"/>
            <w:gridCol w:w="1360"/>
          </w:tblGrid>
        </w:tblGridChange>
      </w:tblGrid>
      <w:tr>
        <w:trPr>
          <w:cantSplit w:val="0"/>
          <w:trHeight w:val="430" w:hRule="atLeast"/>
          <w:tblHeader w:val="0"/>
        </w:trPr>
        <w:tc>
          <w:tcPr>
            <w:tcBorders>
              <w:top w:color="bcc3c6" w:space="0" w:sz="4" w:val="single"/>
              <w:left w:color="bcc3c6" w:space="0" w:sz="4" w:val="single"/>
              <w:bottom w:color="bcc3c6" w:space="0" w:sz="4" w:val="single"/>
              <w:right w:color="bcc3c6" w:space="0" w:sz="4" w:val="single"/>
            </w:tcBorders>
            <w:shd w:fill="bf382a" w:val="clear"/>
            <w:tcMar>
              <w:top w:w="0.0" w:type="dxa"/>
              <w:left w:w="0.0" w:type="dxa"/>
              <w:bottom w:w="0.0" w:type="dxa"/>
              <w:right w:w="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Model</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bf382a" w:val="clear"/>
            <w:tcMar>
              <w:top w:w="0.0" w:type="dxa"/>
              <w:left w:w="0.0" w:type="dxa"/>
              <w:bottom w:w="0.0" w:type="dxa"/>
              <w:right w:w="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Accuracy</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bf382a" w:val="clear"/>
            <w:tcMar>
              <w:top w:w="0.0" w:type="dxa"/>
              <w:left w:w="0.0" w:type="dxa"/>
              <w:bottom w:w="0.0" w:type="dxa"/>
              <w:right w:w="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Precision</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bf382a" w:val="clear"/>
            <w:tcMar>
              <w:top w:w="0.0" w:type="dxa"/>
              <w:left w:w="0.0" w:type="dxa"/>
              <w:bottom w:w="0.0" w:type="dxa"/>
              <w:right w:w="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Recall</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bf382a" w:val="clear"/>
            <w:tcMar>
              <w:top w:w="0.0" w:type="dxa"/>
              <w:left w:w="0.0" w:type="dxa"/>
              <w:bottom w:w="0.0" w:type="dxa"/>
              <w:right w:w="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F1-Score</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bf382a" w:val="clear"/>
            <w:tcMar>
              <w:top w:w="0.0" w:type="dxa"/>
              <w:left w:w="0.0" w:type="dxa"/>
              <w:bottom w:w="0.0" w:type="dxa"/>
              <w:right w:w="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CV Acc</w:t>
            </w:r>
            <w:r w:rsidDel="00000000" w:rsidR="00000000" w:rsidRPr="00000000">
              <w:rPr>
                <w:rtl w:val="0"/>
              </w:rPr>
            </w:r>
          </w:p>
        </w:tc>
      </w:tr>
      <w:tr>
        <w:trPr>
          <w:cantSplit w:val="0"/>
          <w:trHeight w:val="430" w:hRule="atLeast"/>
          <w:tblHeader w:val="0"/>
        </w:trPr>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Random Forest</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0.9964</w:t>
            </w:r>
          </w:p>
        </w:tc>
      </w:tr>
      <w:tr>
        <w:trPr>
          <w:cantSplit w:val="0"/>
          <w:trHeight w:val="430" w:hRule="atLeast"/>
          <w:tblHeader w:val="0"/>
        </w:trPr>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Gradient Boosting</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c>
          <w:tcPr>
            <w:tcBorders>
              <w:top w:color="bcc3c6" w:space="0" w:sz="4" w:val="single"/>
              <w:left w:color="bcc3c6" w:space="0" w:sz="4" w:val="single"/>
              <w:bottom w:color="bcc3c6" w:space="0" w:sz="4" w:val="single"/>
              <w:right w:color="bcc3c6" w:space="0" w:sz="4" w:val="single"/>
            </w:tcBorders>
            <w:shd w:fill="fdebe9" w:val="clear"/>
            <w:tcMar>
              <w:top w:w="0.0" w:type="dxa"/>
              <w:left w:w="0.0" w:type="dxa"/>
              <w:bottom w:w="0.0" w:type="dxa"/>
              <w:right w:w="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r>
      <w:tr>
        <w:trPr>
          <w:cantSplit w:val="0"/>
          <w:trHeight w:val="430" w:hRule="atLeast"/>
          <w:tblHeader w:val="0"/>
        </w:trPr>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SVM (RBF)</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9646</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0.9661</w:t>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9646</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9649</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tcMar>
              <w:top w:w="0.0" w:type="dxa"/>
              <w:left w:w="0.0" w:type="dxa"/>
              <w:bottom w:w="0.0" w:type="dxa"/>
              <w:right w:w="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0.8360</w:t>
            </w:r>
          </w:p>
        </w:tc>
      </w:tr>
      <w:tr>
        <w:trPr>
          <w:cantSplit w:val="0"/>
          <w:trHeight w:val="430" w:hRule="atLeast"/>
          <w:tblHeader w:val="0"/>
        </w:trPr>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K-Nearest Neighbors</w:t>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9027</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9027</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9027</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sz w:val="18"/>
                <w:szCs w:val="18"/>
                <w:rtl w:val="0"/>
              </w:rPr>
              <w:t xml:space="preserve">9005</w:t>
            </w:r>
            <w:r w:rsidDel="00000000" w:rsidR="00000000" w:rsidRPr="00000000">
              <w:rPr>
                <w:rtl w:val="0"/>
              </w:rPr>
            </w:r>
          </w:p>
        </w:tc>
        <w:tc>
          <w:tcPr>
            <w:tcBorders>
              <w:top w:color="bcc3c6" w:space="0" w:sz="4" w:val="single"/>
              <w:left w:color="bcc3c6" w:space="0" w:sz="4" w:val="single"/>
              <w:bottom w:color="bcc3c6" w:space="0" w:sz="4" w:val="single"/>
              <w:right w:color="bcc3c6" w:space="0" w:sz="4" w:val="single"/>
            </w:tcBorders>
            <w:shd w:fill="ebeff0" w:val="clear"/>
            <w:tcMar>
              <w:top w:w="0.0" w:type="dxa"/>
              <w:left w:w="0.0" w:type="dxa"/>
              <w:bottom w:w="0.0" w:type="dxa"/>
              <w:right w:w="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0.7506</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Both Random Forest and Gradient Boosting achieved perfect test-set performance, with Gradient Boosting also attaining a CV accuracy of 1.000. This exceptional result is attributable to three factors: (1) the strong separability of AQI classes when PM2.5 is included — the breakpoints are definitional; (2) the complementary information provided by engineered interaction ratios; and (3) the relatively homogeneous within-class variance for a single-month, single-location dataset. SVM achieved strong generalization (Acc = 0.</w:t>
      </w:r>
      <w:r w:rsidDel="00000000" w:rsidR="00000000" w:rsidRPr="00000000">
        <w:rPr>
          <w:sz w:val="19"/>
          <w:szCs w:val="19"/>
          <w:rtl w:val="0"/>
        </w:rPr>
        <w:t xml:space="preserve">9646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CV = 0.8360), while KNN showed the expected sensitivity to local density imbalance (Acc = 0.</w:t>
      </w:r>
      <w:r w:rsidDel="00000000" w:rsidR="00000000" w:rsidRPr="00000000">
        <w:rPr>
          <w:sz w:val="19"/>
          <w:szCs w:val="19"/>
          <w:rtl w:val="0"/>
        </w:rPr>
        <w:t xml:space="preserve">9027</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CV = 0.7506).</w:t>
      </w:r>
    </w:p>
    <w:p w:rsidR="00000000" w:rsidDel="00000000" w:rsidP="00000000" w:rsidRDefault="00000000" w:rsidRPr="00000000" w14:paraId="00000085">
      <w:pPr>
        <w:pStyle w:val="Heading3"/>
        <w:numPr>
          <w:ilvl w:val="1"/>
          <w:numId w:val="1"/>
        </w:numPr>
        <w:tabs>
          <w:tab w:val="left" w:leader="none" w:pos="770"/>
        </w:tabs>
        <w:spacing w:after="0" w:before="164" w:line="240" w:lineRule="auto"/>
        <w:ind w:left="770" w:right="0" w:hanging="366"/>
        <w:jc w:val="left"/>
        <w:rPr/>
      </w:pPr>
      <w:r w:rsidDel="00000000" w:rsidR="00000000" w:rsidRPr="00000000">
        <w:rPr>
          <w:color w:val="1a242f"/>
          <w:rtl w:val="0"/>
        </w:rPr>
        <w:t xml:space="preserve">Feature Importance Analysis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Random Forest feature importance confirms that PM2.5 is the single most informative predictor (importance &gt; 0.40), followed by PM10, CO, and the engineered PM ratio. Temporal features (hour_sin, hour_cos) contribute modestly but measurably, confirming the value of cyclic encoding. Oxidant index</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6"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adds incremental signal beyond its constituent variables (NO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validating the feature engineering approach.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numPr>
          <w:ilvl w:val="1"/>
          <w:numId w:val="1"/>
        </w:numPr>
        <w:tabs>
          <w:tab w:val="left" w:leader="none" w:pos="770"/>
        </w:tabs>
        <w:spacing w:after="0" w:before="1" w:line="240" w:lineRule="auto"/>
        <w:ind w:left="770" w:right="0" w:hanging="366"/>
        <w:jc w:val="left"/>
        <w:rPr/>
      </w:pPr>
      <w:r w:rsidDel="00000000" w:rsidR="00000000" w:rsidRPr="00000000">
        <w:rPr>
          <w:color w:val="1a242f"/>
          <w:rtl w:val="0"/>
        </w:rPr>
        <w:t xml:space="preserve">Diurnal and Temporal Patterns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EDA reveals a consistent diurnal pattern: PM2.5 and CO peak between 02:00–05:00 due to near-surface atmospheric inversion that traps pollutants in a shallow mixing layer. A secondary morning peak occurs at 08:00–10:00 corresponding to traffic rush hour. Concentrations dip at 12:00–15:00 as the planetary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6"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boundary layer (PBL) deepens and dilutes surface pollutants. 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shows an inverse pattern (minimum at night, maximum mid-afternoon), consistent with photochemical production mechanisms. This pattern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directly connects to Urban Heat Island dynamics: the nocturnal UHI suppresses turbulent mixing, trapping pollutants near the surface.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numPr>
          <w:ilvl w:val="0"/>
          <w:numId w:val="1"/>
        </w:numPr>
        <w:tabs>
          <w:tab w:val="left" w:leader="none" w:pos="693"/>
        </w:tabs>
        <w:spacing w:after="0" w:before="1" w:line="240" w:lineRule="auto"/>
        <w:ind w:left="693" w:right="0" w:hanging="289"/>
        <w:jc w:val="left"/>
        <w:rPr/>
        <w:sectPr>
          <w:type w:val="nextPage"/>
          <w:pgSz w:h="16840" w:w="11910" w:orient="portrait"/>
          <w:pgMar w:bottom="280" w:top="1460" w:left="1133" w:right="1133" w:header="720" w:footer="720"/>
        </w:sectPr>
      </w:pPr>
      <w:r w:rsidDel="00000000" w:rsidR="00000000" w:rsidRPr="00000000">
        <w:rPr>
          <w:color w:val="bf382a"/>
          <w:rtl w:val="0"/>
        </w:rPr>
        <w:t xml:space="preserve">Discussion</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80"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dominance of PM2.5 in AQI prediction reflects both the definitional relationship between PM2.5 and AQI and the physical reality of Delhi's pollution regime. However, the inclusion of satellite-proxy pollutants (CO, NO2, SO2) improves CV accuracy compared to PM2.5-only baselines, demonstrating the value of multi-pollutant remote sensing approaches.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306.99999999999994" w:lineRule="auto"/>
        <w:ind w:left="404" w:right="401" w:firstLine="0"/>
        <w:jc w:val="both"/>
        <w:rPr>
          <w:rFonts w:ascii="Arial" w:cs="Arial" w:eastAsia="Arial" w:hAnsi="Arial"/>
          <w:b w:val="0"/>
          <w:bCs w:val="0"/>
          <w:i w:val="0"/>
          <w:iCs w:val="0"/>
          <w:smallCaps w:val="0"/>
          <w:strike w:val="0"/>
          <w:color w:val="000000"/>
          <w:sz w:val="19"/>
          <w:szCs w:val="19"/>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near-perfect accuracy of ensemble models raises important considerations about overfitting in small, concentrated datasets. The 5-fold cross-validation results (RF CV = 0.9964, GB CV = 1.000) suggest the performance is genuine rather than an artefact of a single train-test split. Future work should validate on multi-city, multi-season data to assess model generalisability. Integration with Google Earth Engine (GEE) derived Aerosol Optical Depth (AOD) from MODIS or Sentinel-5P TROPOMI column data would enable fully satellite-based prediction without ground sensors.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From a policy perspective, the identified diurnal pollution peaks between 02:00–05:00 suggest that urban air quality interventions should target nocturnal emission sources (industrial, brick kilns, waste burning) in addition to the better-documented vehicular traffic. The strong correlation between CO and PM2.5 implicates biomass and fossil fuel combustion as primary sources.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2"/>
        <w:numPr>
          <w:ilvl w:val="0"/>
          <w:numId w:val="1"/>
        </w:numPr>
        <w:tabs>
          <w:tab w:val="left" w:leader="none" w:pos="693"/>
        </w:tabs>
        <w:spacing w:after="0" w:before="0" w:line="240" w:lineRule="auto"/>
        <w:ind w:left="693" w:right="0" w:hanging="289"/>
        <w:jc w:val="left"/>
        <w:rPr/>
      </w:pPr>
      <w:r w:rsidDel="00000000" w:rsidR="00000000" w:rsidRPr="00000000">
        <w:rPr>
          <w:color w:val="bf382a"/>
          <w:rtl w:val="0"/>
        </w:rPr>
        <w:t xml:space="preserve">Conclusion</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paper presents a systematic ML pipeline for AQI category classification from satellite-proxy atmospheric data, applied to Delhi's January 2023 hourly pollution records. We demonstrate that Gradient Boosting and Random Forest classifiers, combined with engineered pollutant interaction features and cyclic temporal encodings, achieve state-of-the-art accuracy (F1 = 1.00, CV = 1.00). The analysis provides actionable insights: PM2.5 drives classification, nocturnal inversions create peak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6"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pollution windows, and combustion-source indicators (CO/NO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ratio) carry predictive signal beyond individual pollutant concentrations. This framework is directly extensible to broader Urban Heat Island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06.99999999999994" w:lineRule="auto"/>
        <w:ind w:left="404" w:right="401"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studies, remote sensing pipelines, and climate change impact assessment in the Indo-Gangetic Plain region.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256539</wp:posOffset>
                </wp:positionH>
                <wp:positionV relativeFrom="paragraph">
                  <wp:posOffset>69215</wp:posOffset>
                </wp:positionV>
                <wp:extent cx="5607685" cy="12700"/>
                <wp:effectExtent b="0" l="0" r="0" t="0"/>
                <wp:wrapTopAndBottom distB="0" distT="0"/>
                <wp:docPr id="3" name=""/>
                <a:graphic>
                  <a:graphicData uri="http://schemas.microsoft.com/office/word/2010/wordprocessingShape">
                    <wps:wsp>
                      <wps:cNvSpPr/>
                      <wps:cNvPr id="4" name="Shape 4"/>
                      <wps:spPr>
                        <a:xfrm>
                          <a:off x="2542158" y="3779365"/>
                          <a:ext cx="5607685" cy="1270"/>
                        </a:xfrm>
                        <a:custGeom>
                          <a:rect b="b" l="l" r="r" t="t"/>
                          <a:pathLst>
                            <a:path extrusionOk="0" h="120000" w="5607685">
                              <a:moveTo>
                                <a:pt x="0" y="0"/>
                              </a:moveTo>
                              <a:lnTo>
                                <a:pt x="5607599" y="0"/>
                              </a:lnTo>
                            </a:path>
                          </a:pathLst>
                        </a:custGeom>
                        <a:noFill/>
                        <a:ln cap="flat" cmpd="sng" w="9525">
                          <a:solidFill>
                            <a:srgbClr val="EBEFF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256539</wp:posOffset>
                </wp:positionH>
                <wp:positionV relativeFrom="paragraph">
                  <wp:posOffset>69215</wp:posOffset>
                </wp:positionV>
                <wp:extent cx="5607685"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07685" cy="12700"/>
                        </a:xfrm>
                        <a:prstGeom prst="rect"/>
                        <a:ln/>
                      </pic:spPr>
                    </pic:pic>
                  </a:graphicData>
                </a:graphic>
              </wp:anchor>
            </w:drawing>
          </mc:Fallback>
        </mc:AlternateContent>
      </w:r>
    </w:p>
    <w:p w:rsidR="00000000" w:rsidDel="00000000" w:rsidP="00000000" w:rsidRDefault="00000000" w:rsidRPr="00000000" w14:paraId="00000098">
      <w:pPr>
        <w:pStyle w:val="Heading2"/>
        <w:spacing w:before="291" w:lineRule="auto"/>
        <w:ind w:left="404" w:firstLine="0"/>
        <w:rPr/>
      </w:pPr>
      <w:r w:rsidDel="00000000" w:rsidR="00000000" w:rsidRPr="00000000">
        <w:rPr>
          <w:color w:val="bf382a"/>
          <w:rtl w:val="0"/>
        </w:rPr>
        <w:t xml:space="preserve">References</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15" w:line="295" w:lineRule="auto"/>
        <w:ind w:left="404" w:right="767"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 EPA (2022). Technical Assistance Document for the Reporting of Daily Air Quality — the Air Quality Index (AQI). EPA-454/B-22-001.</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79" w:line="295" w:lineRule="auto"/>
        <w:ind w:left="404" w:right="671"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Li, T., et al. (2020). Estimating ground-level PM2.5 by fusing satellite and station observations: a geo-intelligent deep learning approach. Geophysical Research Letters, 44(23), 11985–11993.</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79" w:line="295" w:lineRule="auto"/>
        <w:ind w:left="404" w:right="530"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Ong, B. T., et al. (2016). Dynamically pre-trained deep recurrent neural networks using environmental monitoring data for predicting PM2.5. Neural Computing and Applications, 27(6), 1553–1566.</w: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80" w:line="240" w:lineRule="auto"/>
        <w:ind w:left="640" w:right="0" w:hanging="23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WHO (2021). WHO Global Air Quality Guidelines. World Health Organization, Geneva.</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124" w:line="240" w:lineRule="auto"/>
        <w:ind w:left="640" w:right="0" w:hanging="23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Breiman, L. (2001). Random Forests. Machine Learning, 45(1), 5–32.</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125" w:line="240" w:lineRule="auto"/>
        <w:ind w:left="640" w:right="0" w:hanging="23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Chen, T., &amp; Guestrin, C. (2016). XGBoost: A scalable tree boosting system. KDD '16 Proceedings.</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124" w:line="240" w:lineRule="auto"/>
        <w:ind w:left="640" w:right="0" w:hanging="23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OpenWeatherMap (2023). Air Pollution API Documentation. </w:t>
      </w:r>
      <w:hyperlink r:id="rId7">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https://openweathermap.org/api/air-pollution</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0"/>
        </w:tabs>
        <w:spacing w:after="0" w:before="125" w:line="240" w:lineRule="auto"/>
        <w:ind w:left="640" w:right="0" w:hanging="23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Zheng, Y., et al. (2015). Forecasting fine-grained air quality based on big data. ACM KDD, pp. 2267–2276.</w:t>
      </w:r>
    </w:p>
    <w:sectPr>
      <w:type w:val="nextPage"/>
      <w:pgSz w:h="16840" w:w="11910" w:orient="portrait"/>
      <w:pgMar w:bottom="280" w:top="1460" w:left="1133"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93" w:hanging="290"/>
      </w:pPr>
      <w:rPr>
        <w:rFonts w:ascii="Arial" w:cs="Arial" w:eastAsia="Arial" w:hAnsi="Arial"/>
        <w:b w:val="1"/>
        <w:bCs w:val="1"/>
        <w:i w:val="0"/>
        <w:iCs w:val="0"/>
        <w:color w:val="bf382a"/>
        <w:sz w:val="26"/>
        <w:szCs w:val="26"/>
      </w:rPr>
    </w:lvl>
    <w:lvl w:ilvl="1">
      <w:start w:val="1"/>
      <w:numFmt w:val="decimal"/>
      <w:lvlText w:val="%1.%2"/>
      <w:lvlJc w:val="left"/>
      <w:pPr>
        <w:ind w:left="771" w:hanging="367.0000000000001"/>
      </w:pPr>
      <w:rPr>
        <w:rFonts w:ascii="Arial" w:cs="Arial" w:eastAsia="Arial" w:hAnsi="Arial"/>
        <w:b w:val="1"/>
        <w:bCs w:val="1"/>
        <w:i w:val="0"/>
        <w:iCs w:val="0"/>
        <w:color w:val="1a242f"/>
        <w:sz w:val="22"/>
        <w:szCs w:val="22"/>
      </w:rPr>
    </w:lvl>
    <w:lvl w:ilvl="2">
      <w:start w:val="0"/>
      <w:numFmt w:val="bullet"/>
      <w:lvlText w:val="•"/>
      <w:lvlJc w:val="left"/>
      <w:pPr>
        <w:ind w:left="1764" w:hanging="367"/>
      </w:pPr>
      <w:rPr/>
    </w:lvl>
    <w:lvl w:ilvl="3">
      <w:start w:val="0"/>
      <w:numFmt w:val="bullet"/>
      <w:lvlText w:val="•"/>
      <w:lvlJc w:val="left"/>
      <w:pPr>
        <w:ind w:left="2748" w:hanging="367"/>
      </w:pPr>
      <w:rPr/>
    </w:lvl>
    <w:lvl w:ilvl="4">
      <w:start w:val="0"/>
      <w:numFmt w:val="bullet"/>
      <w:lvlText w:val="•"/>
      <w:lvlJc w:val="left"/>
      <w:pPr>
        <w:ind w:left="3733" w:hanging="367"/>
      </w:pPr>
      <w:rPr/>
    </w:lvl>
    <w:lvl w:ilvl="5">
      <w:start w:val="0"/>
      <w:numFmt w:val="bullet"/>
      <w:lvlText w:val="•"/>
      <w:lvlJc w:val="left"/>
      <w:pPr>
        <w:ind w:left="4717" w:hanging="367"/>
      </w:pPr>
      <w:rPr/>
    </w:lvl>
    <w:lvl w:ilvl="6">
      <w:start w:val="0"/>
      <w:numFmt w:val="bullet"/>
      <w:lvlText w:val="•"/>
      <w:lvlJc w:val="left"/>
      <w:pPr>
        <w:ind w:left="5701" w:hanging="367"/>
      </w:pPr>
      <w:rPr/>
    </w:lvl>
    <w:lvl w:ilvl="7">
      <w:start w:val="0"/>
      <w:numFmt w:val="bullet"/>
      <w:lvlText w:val="•"/>
      <w:lvlJc w:val="left"/>
      <w:pPr>
        <w:ind w:left="6686" w:hanging="367"/>
      </w:pPr>
      <w:rPr/>
    </w:lvl>
    <w:lvl w:ilvl="8">
      <w:start w:val="0"/>
      <w:numFmt w:val="bullet"/>
      <w:lvlText w:val="•"/>
      <w:lvlJc w:val="left"/>
      <w:pPr>
        <w:ind w:left="7670" w:hanging="367"/>
      </w:pPr>
      <w:rPr/>
    </w:lvl>
  </w:abstractNum>
  <w:abstractNum w:abstractNumId="2">
    <w:lvl w:ilvl="0">
      <w:start w:val="1"/>
      <w:numFmt w:val="decimal"/>
      <w:lvlText w:val="[%1]"/>
      <w:lvlJc w:val="left"/>
      <w:pPr>
        <w:ind w:left="404" w:hanging="237"/>
      </w:pPr>
      <w:rPr>
        <w:rFonts w:ascii="Arial" w:cs="Arial" w:eastAsia="Arial" w:hAnsi="Arial"/>
        <w:b w:val="0"/>
        <w:bCs w:val="0"/>
        <w:i w:val="0"/>
        <w:iCs w:val="0"/>
        <w:sz w:val="17"/>
        <w:szCs w:val="17"/>
      </w:rPr>
    </w:lvl>
    <w:lvl w:ilvl="1">
      <w:start w:val="0"/>
      <w:numFmt w:val="bullet"/>
      <w:lvlText w:val="•"/>
      <w:lvlJc w:val="left"/>
      <w:pPr>
        <w:ind w:left="1323" w:hanging="237"/>
      </w:pPr>
      <w:rPr/>
    </w:lvl>
    <w:lvl w:ilvl="2">
      <w:start w:val="0"/>
      <w:numFmt w:val="bullet"/>
      <w:lvlText w:val="•"/>
      <w:lvlJc w:val="left"/>
      <w:pPr>
        <w:ind w:left="2247" w:hanging="237"/>
      </w:pPr>
      <w:rPr/>
    </w:lvl>
    <w:lvl w:ilvl="3">
      <w:start w:val="0"/>
      <w:numFmt w:val="bullet"/>
      <w:lvlText w:val="•"/>
      <w:lvlJc w:val="left"/>
      <w:pPr>
        <w:ind w:left="3171" w:hanging="236.99999999999955"/>
      </w:pPr>
      <w:rPr/>
    </w:lvl>
    <w:lvl w:ilvl="4">
      <w:start w:val="0"/>
      <w:numFmt w:val="bullet"/>
      <w:lvlText w:val="•"/>
      <w:lvlJc w:val="left"/>
      <w:pPr>
        <w:ind w:left="4095" w:hanging="237"/>
      </w:pPr>
      <w:rPr/>
    </w:lvl>
    <w:lvl w:ilvl="5">
      <w:start w:val="0"/>
      <w:numFmt w:val="bullet"/>
      <w:lvlText w:val="•"/>
      <w:lvlJc w:val="left"/>
      <w:pPr>
        <w:ind w:left="5019" w:hanging="237"/>
      </w:pPr>
      <w:rPr/>
    </w:lvl>
    <w:lvl w:ilvl="6">
      <w:start w:val="0"/>
      <w:numFmt w:val="bullet"/>
      <w:lvlText w:val="•"/>
      <w:lvlJc w:val="left"/>
      <w:pPr>
        <w:ind w:left="5943" w:hanging="237.0000000000009"/>
      </w:pPr>
      <w:rPr/>
    </w:lvl>
    <w:lvl w:ilvl="7">
      <w:start w:val="0"/>
      <w:numFmt w:val="bullet"/>
      <w:lvlText w:val="•"/>
      <w:lvlJc w:val="left"/>
      <w:pPr>
        <w:ind w:left="6867" w:hanging="237"/>
      </w:pPr>
      <w:rPr/>
    </w:lvl>
    <w:lvl w:ilvl="8">
      <w:start w:val="0"/>
      <w:numFmt w:val="bullet"/>
      <w:lvlText w:val="•"/>
      <w:lvlJc w:val="left"/>
      <w:pPr>
        <w:ind w:left="7791" w:hanging="237"/>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13" w:lineRule="auto"/>
      <w:ind w:left="219" w:right="218"/>
      <w:jc w:val="center"/>
    </w:pPr>
    <w:rPr>
      <w:rFonts w:ascii="Arial" w:cs="Arial" w:eastAsia="Arial" w:hAnsi="Arial"/>
      <w:b w:val="1"/>
      <w:bCs w:val="1"/>
      <w:sz w:val="36"/>
      <w:szCs w:val="36"/>
    </w:rPr>
  </w:style>
  <w:style w:type="paragraph" w:styleId="Heading2">
    <w:name w:val="heading 2"/>
    <w:basedOn w:val="Normal"/>
    <w:next w:val="Normal"/>
    <w:pPr>
      <w:ind w:left="693" w:hanging="289"/>
    </w:pPr>
    <w:rPr>
      <w:rFonts w:ascii="Arial" w:cs="Arial" w:eastAsia="Arial" w:hAnsi="Arial"/>
      <w:b w:val="1"/>
      <w:bCs w:val="1"/>
      <w:sz w:val="26"/>
      <w:szCs w:val="26"/>
    </w:rPr>
  </w:style>
  <w:style w:type="paragraph" w:styleId="Heading3">
    <w:name w:val="heading 3"/>
    <w:basedOn w:val="Normal"/>
    <w:next w:val="Normal"/>
    <w:pPr>
      <w:spacing w:before="1" w:lineRule="auto"/>
      <w:ind w:left="770" w:hanging="366"/>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openweathermap.org/api/air-pollu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2026-04-19T00:00:00Z</vt:lpwstr>
  </property>
  <property fmtid="{D5CDD505-2E9C-101B-9397-08002B2CF9AE}" pid="4" name="Creator">
    <vt:lpwstr>(unspecified)</vt:lpwstr>
  </property>
  <property fmtid="{D5CDD505-2E9C-101B-9397-08002B2CF9AE}" pid="5" name="LastSaved">
    <vt:lpwstr>2026-05-01T00:00:00Z</vt:lpwstr>
  </property>
  <property fmtid="{D5CDD505-2E9C-101B-9397-08002B2CF9AE}" pid="6" name="Producer">
    <vt:lpwstr>ReportLab PDF Library - (opensource)</vt:lpwstr>
  </property>
  <property fmtid="{D5CDD505-2E9C-101B-9397-08002B2CF9AE}" pid="7" name="KSOTemplateDocerSaveRecord">
    <vt:lpwstr>eyJoZGlkIjoiMGU2ZGIzODMwYTJiNzlmMzBiNzAyMDYzOWQwZmRjNmEiLCJ1c2VySWQiOiIxNjY2NzA2MjkzMDUzIn0=</vt:lpwstr>
  </property>
  <property fmtid="{D5CDD505-2E9C-101B-9397-08002B2CF9AE}" pid="8" name="KSOProductBuildVer">
    <vt:lpwstr>1033-12.1.0.25862</vt:lpwstr>
  </property>
  <property fmtid="{D5CDD505-2E9C-101B-9397-08002B2CF9AE}" pid="9" name="ICV">
    <vt:lpwstr>D81B694373914F5FA80E775110D99728_12</vt:lpwstr>
  </property>
</Properties>
</file>