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0440" w:rsidRPr="000A0440" w:rsidRDefault="000A0440">
      <w:pPr>
        <w:rPr>
          <w:rFonts w:ascii="Arial" w:hAnsi="Arial" w:cs="Arial"/>
          <w:b/>
          <w:bCs/>
          <w:color w:val="222222"/>
          <w:u w:val="single"/>
          <w:shd w:val="clear" w:color="auto" w:fill="FFFFFF"/>
        </w:rPr>
      </w:pPr>
      <w:r w:rsidRPr="000A0440">
        <w:rPr>
          <w:rFonts w:ascii="Arial" w:hAnsi="Arial" w:cs="Arial"/>
          <w:b/>
          <w:bCs/>
          <w:color w:val="222222"/>
          <w:u w:val="single"/>
          <w:shd w:val="clear" w:color="auto" w:fill="FFFFFF"/>
        </w:rPr>
        <w:t>Questions on farmer training for climate change</w:t>
      </w:r>
    </w:p>
    <w:p w:rsidR="000A0440" w:rsidRDefault="000A044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1</w:t>
      </w:r>
      <w:r>
        <w:rPr>
          <w:rFonts w:ascii="Arial" w:hAnsi="Arial" w:cs="Arial"/>
          <w:color w:val="222222"/>
          <w:shd w:val="clear" w:color="auto" w:fill="FFFFFF"/>
        </w:rPr>
        <w:t>. In an interview with MARDI, it was mentioned that DVS has mandated a phased implementation of closed-house systems for poultry farms, starting in Perak. How will the closed-house system be more sustainable than free-range, open farms?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a. Will a similar approach be mandated for livestock?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</w:t>
      </w:r>
      <w:r>
        <w:rPr>
          <w:rFonts w:ascii="Arial" w:hAnsi="Arial" w:cs="Arial"/>
          <w:color w:val="222222"/>
          <w:shd w:val="clear" w:color="auto" w:fill="FFFFFF"/>
        </w:rPr>
        <w:t>. MARDI highlighted that while they lead the scientific research on climate-resilient livestock genetics, widespread field adoption relies heavily on coordination. How does DVS enable this and could you elaborate on the department’s regulatory role in facilitating the deployment of climate-smart livestock breeds in Malaysia?</w:t>
      </w:r>
    </w:p>
    <w:p w:rsidR="00CE08E6" w:rsidRPr="000A0440" w:rsidRDefault="000A044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a. What are the other ways DVS collaborates with state research bodies (like MARDI) and corporate pioneers (like Farm Fresh and F&amp;N) to streamline the import and distribution of climate-resilient genetic materials?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t>3</w:t>
      </w:r>
      <w:r>
        <w:rPr>
          <w:rFonts w:ascii="Arial" w:hAnsi="Arial" w:cs="Arial"/>
          <w:color w:val="222222"/>
          <w:shd w:val="clear" w:color="auto" w:fill="FFFFFF"/>
        </w:rPr>
        <w:t>. Looking toward 2030, how critical is this shift toward biological resilience and genetic climate adaptation to safeguarding Malaysia’s self-sufficiency levels for livestock and poultry?</w:t>
      </w:r>
    </w:p>
    <w:sectPr w:rsidR="00CE08E6" w:rsidRPr="000A0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40"/>
    <w:rsid w:val="000A0440"/>
    <w:rsid w:val="00712BCD"/>
    <w:rsid w:val="007477EA"/>
    <w:rsid w:val="00CE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CAA6"/>
  <w15:chartTrackingRefBased/>
  <w15:docId w15:val="{AB1B83C5-D1E9-4FC0-BCC5-665B25CB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Rahaizanwati Abdul Rahim</dc:creator>
  <cp:keywords/>
  <dc:description/>
  <cp:lastModifiedBy>Rahaizanwati Abdul Rahim</cp:lastModifiedBy>
  <cp:revision>1</cp:revision>
  <dcterms:created xsi:type="dcterms:W3CDTF">2026-07-24T03:06:00Z</dcterms:created>
  <dcterms:modified xsi:type="dcterms:W3CDTF">2026-07-24T03:08:00Z</dcterms:modified>
</cp:coreProperties>
</file>