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0F3A47"/>
            <w:tcBorders>
              <w:top w:val="single" w:sz="4" w:space="0" w:color="0F3A47"/>
              <w:left w:val="single" w:sz="4" w:space="0" w:color="0F3A47"/>
              <w:bottom w:val="single" w:sz="4" w:space="0" w:color="0F3A47"/>
              <w:right w:val="single" w:sz="4" w:space="0" w:color="0F3A47"/>
            </w:tcBorders>
          </w:tcPr>
          <w:p>
            <w:pPr>
              <w:spacing w:before="120" w:after="2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INVESTMENT WORLD FOR DEVELOPMENT AND TECHNOLOGY</w:t>
            </w:r>
          </w:p>
          <w:p>
            <w:pPr>
              <w:spacing w:before="20" w:after="20"/>
            </w:pPr>
            <w:r>
              <w:rPr>
                <w:rFonts w:ascii="Calibri" w:hAnsi="Calibri" w:eastAsia="Calibri"/>
                <w:b/>
                <w:i w:val="0"/>
                <w:color w:val="FFFFFF"/>
                <w:sz w:val="32"/>
              </w:rPr>
              <w:t>Payment Terms</w:t>
            </w:r>
          </w:p>
          <w:p>
            <w:pPr>
              <w:spacing w:before="20" w:after="120"/>
            </w:pPr>
            <w:r>
              <w:rPr>
                <w:rFonts w:ascii="Calibri" w:hAnsi="Calibri" w:eastAsia="Calibri"/>
                <w:b w:val="0"/>
                <w:i w:val="0"/>
                <w:color w:val="D5E8E2"/>
                <w:sz w:val="16"/>
              </w:rPr>
              <w:t>Platform 2 — Capacity Building  ·  August 2026  ·  Currency: JOD</w:t>
            </w:r>
          </w:p>
        </w:tc>
      </w:tr>
    </w:tbl>
    <w:p>
      <w:pPr>
        <w:spacing w:before="140" w:after="60"/>
        <w:pBdr>
          <w:bottom w:val="single" w:sz="8" w:space="2" w:color="1F6B5C"/>
        </w:pBdr>
      </w:pPr>
      <w:r>
        <w:rPr>
          <w:rFonts w:ascii="Calibri" w:hAnsi="Calibri" w:eastAsia="Calibri"/>
          <w:b/>
          <w:i w:val="0"/>
          <w:color w:val="0F3A47"/>
          <w:sz w:val="21"/>
        </w:rPr>
        <w:t>1. Hourly rate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4252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Professional hourly rate</w:t>
            </w:r>
          </w:p>
        </w:tc>
        <w:tc>
          <w:tcPr>
            <w:tcW w:type="dxa" w:w="5953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F6B5C"/>
                <w:sz w:val="17"/>
              </w:rPr>
              <w:t>20 JOD / hour</w:t>
            </w:r>
          </w:p>
        </w:tc>
      </w:tr>
    </w:tbl>
    <w:p>
      <w:pPr>
        <w:spacing w:before="140" w:after="60"/>
        <w:pBdr>
          <w:bottom w:val="single" w:sz="8" w:space="2" w:color="1F6B5C"/>
        </w:pBdr>
      </w:pPr>
      <w:r>
        <w:rPr>
          <w:rFonts w:ascii="Calibri" w:hAnsi="Calibri" w:eastAsia="Calibri"/>
          <w:b/>
          <w:i w:val="0"/>
          <w:color w:val="0F3A47"/>
          <w:sz w:val="21"/>
        </w:rPr>
        <w:t>2. Unit of delivery</w:t>
      </w:r>
    </w:p>
    <w:p>
      <w:pPr>
        <w:spacing w:before="0" w:after="60"/>
      </w:pPr>
      <w:r>
        <w:rPr>
          <w:rFonts w:ascii="Calibri" w:hAnsi="Calibri" w:eastAsia="Calibri"/>
          <w:b w:val="0"/>
          <w:i w:val="0"/>
          <w:color w:val="5A5A5A"/>
          <w:sz w:val="16"/>
        </w:rPr>
        <w:t>Pricing is per learning module. Module 1 is a lesson only. Modules 2–11 are a full learning path plus an operational agent on nexos.ai. Each module is built for 45–90 minutes of self-paced learner time.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4252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2551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Estimated hours</w:t>
            </w:r>
          </w:p>
        </w:tc>
        <w:tc>
          <w:tcPr>
            <w:tcW w:type="dxa" w:w="3402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Price</w:t>
            </w:r>
          </w:p>
        </w:tc>
      </w:tr>
      <w:tr>
        <w:tc>
          <w:tcPr>
            <w:tcW w:type="dxa" w:w="4252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6"/>
              </w:rPr>
              <w:t>Module 1 (lesson only)</w:t>
            </w:r>
          </w:p>
        </w:tc>
        <w:tc>
          <w:tcPr>
            <w:tcW w:type="dxa" w:w="2551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6"/>
              </w:rPr>
              <w:t>20 hours</w:t>
            </w:r>
          </w:p>
        </w:tc>
        <w:tc>
          <w:tcPr>
            <w:tcW w:type="dxa" w:w="3402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C2C2C"/>
                <w:sz w:val="16"/>
              </w:rPr>
              <w:t>400 JOD</w:t>
            </w:r>
          </w:p>
        </w:tc>
      </w:tr>
      <w:tr>
        <w:tc>
          <w:tcPr>
            <w:tcW w:type="dxa" w:w="4252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6"/>
              </w:rPr>
              <w:t>Each module 2–11 (lesson + agent)</w:t>
            </w:r>
          </w:p>
        </w:tc>
        <w:tc>
          <w:tcPr>
            <w:tcW w:type="dxa" w:w="2551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6"/>
              </w:rPr>
              <w:t>35 hours</w:t>
            </w:r>
          </w:p>
        </w:tc>
        <w:tc>
          <w:tcPr>
            <w:tcW w:type="dxa" w:w="3402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C2C2C"/>
                <w:sz w:val="16"/>
              </w:rPr>
              <w:t>700 JOD</w:t>
            </w:r>
          </w:p>
        </w:tc>
      </w:tr>
    </w:tbl>
    <w:p>
      <w:pPr>
        <w:spacing w:before="140" w:after="60"/>
        <w:pBdr>
          <w:bottom w:val="single" w:sz="8" w:space="2" w:color="1F6B5C"/>
        </w:pBdr>
      </w:pPr>
      <w:r>
        <w:rPr>
          <w:rFonts w:ascii="Calibri" w:hAnsi="Calibri" w:eastAsia="Calibri"/>
          <w:b/>
          <w:i w:val="0"/>
          <w:color w:val="0F3A47"/>
          <w:sz w:val="21"/>
        </w:rPr>
        <w:t>3. Full Platform 2 package (fixed project price)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4252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Piece</w:t>
            </w:r>
          </w:p>
        </w:tc>
        <w:tc>
          <w:tcPr>
            <w:tcW w:type="dxa" w:w="2268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Hours</w:t>
            </w:r>
          </w:p>
        </w:tc>
        <w:tc>
          <w:tcPr>
            <w:tcW w:type="dxa" w:w="3685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Price</w:t>
            </w:r>
          </w:p>
        </w:tc>
      </w:tr>
      <w:tr>
        <w:tc>
          <w:tcPr>
            <w:tcW w:type="dxa" w:w="4252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6"/>
              </w:rPr>
              <w:t>Module 1</w:t>
            </w:r>
          </w:p>
        </w:tc>
        <w:tc>
          <w:tcPr>
            <w:tcW w:type="dxa" w:w="2268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6"/>
              </w:rPr>
              <w:t>20</w:t>
            </w:r>
          </w:p>
        </w:tc>
        <w:tc>
          <w:tcPr>
            <w:tcW w:type="dxa" w:w="3685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C2C2C"/>
                <w:sz w:val="16"/>
              </w:rPr>
              <w:t>400 JOD</w:t>
            </w:r>
          </w:p>
        </w:tc>
      </w:tr>
      <w:tr>
        <w:tc>
          <w:tcPr>
            <w:tcW w:type="dxa" w:w="4252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6"/>
              </w:rPr>
              <w:t>Modules 2–11 (10 × 35 h)</w:t>
            </w:r>
          </w:p>
        </w:tc>
        <w:tc>
          <w:tcPr>
            <w:tcW w:type="dxa" w:w="2268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6"/>
              </w:rPr>
              <w:t>350</w:t>
            </w:r>
          </w:p>
        </w:tc>
        <w:tc>
          <w:tcPr>
            <w:tcW w:type="dxa" w:w="3685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C2C2C"/>
                <w:sz w:val="16"/>
              </w:rPr>
              <w:t>7,000 JOD</w:t>
            </w:r>
          </w:p>
        </w:tc>
      </w:tr>
      <w:tr>
        <w:tc>
          <w:tcPr>
            <w:tcW w:type="dxa" w:w="4252"/>
            <w:shd w:fill="E7F0ED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6"/>
              </w:rPr>
              <w:t>Total</w:t>
            </w:r>
          </w:p>
        </w:tc>
        <w:tc>
          <w:tcPr>
            <w:tcW w:type="dxa" w:w="2268"/>
            <w:shd w:fill="E7F0ED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C2C2C"/>
                <w:sz w:val="16"/>
              </w:rPr>
              <w:t>370 hours</w:t>
            </w:r>
          </w:p>
        </w:tc>
        <w:tc>
          <w:tcPr>
            <w:tcW w:type="dxa" w:w="3685"/>
            <w:shd w:fill="E7F0ED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6B5C"/>
                <w:sz w:val="17"/>
              </w:rPr>
              <w:t>7,400 JOD</w:t>
            </w:r>
          </w:p>
        </w:tc>
      </w:tr>
    </w:tbl>
    <w:p>
      <w:pPr>
        <w:spacing w:before="80" w:after="40"/>
      </w:pPr>
      <w:r>
        <w:rPr>
          <w:rFonts w:ascii="Calibri" w:hAnsi="Calibri" w:eastAsia="Calibri"/>
          <w:b w:val="0"/>
          <w:i w:val="0"/>
          <w:color w:val="2C2C2C"/>
          <w:sz w:val="16"/>
        </w:rPr>
        <w:t>Fixed project price for all eleven modules as described in the Platform 2 proposal.</w:t>
      </w:r>
    </w:p>
    <w:p>
      <w:pPr>
        <w:spacing w:before="140" w:after="60"/>
        <w:pBdr>
          <w:bottom w:val="single" w:sz="8" w:space="2" w:color="1F6B5C"/>
        </w:pBdr>
      </w:pPr>
      <w:r>
        <w:rPr>
          <w:rFonts w:ascii="Calibri" w:hAnsi="Calibri" w:eastAsia="Calibri"/>
          <w:b/>
          <w:i w:val="0"/>
          <w:color w:val="0F3A47"/>
          <w:sz w:val="21"/>
        </w:rPr>
        <w:t>4. Payment schedule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Milestone</w:t>
            </w:r>
          </w:p>
        </w:tc>
        <w:tc>
          <w:tcPr>
            <w:tcW w:type="dxa" w:w="3439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When</w:t>
            </w:r>
          </w:p>
        </w:tc>
        <w:tc>
          <w:tcPr>
            <w:tcW w:type="dxa" w:w="3439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Amount</w:t>
            </w:r>
          </w:p>
        </w:tc>
      </w:tr>
      <w:tr>
        <w:tc>
          <w:tcPr>
            <w:tcW w:type="dxa" w:w="3439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Deposit</w:t>
            </w:r>
          </w:p>
        </w:tc>
        <w:tc>
          <w:tcPr>
            <w:tcW w:type="dxa" w:w="3439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On agreement / start of work</w:t>
            </w:r>
          </w:p>
        </w:tc>
        <w:tc>
          <w:tcPr>
            <w:tcW w:type="dxa" w:w="3439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6B5C"/>
                <w:sz w:val="18"/>
              </w:rPr>
              <w:t>50% — 3,700 JOD</w:t>
            </w:r>
          </w:p>
        </w:tc>
      </w:tr>
      <w:tr>
        <w:tc>
          <w:tcPr>
            <w:tcW w:type="dxa" w:w="3439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Delivery</w:t>
            </w:r>
          </w:p>
        </w:tc>
        <w:tc>
          <w:tcPr>
            <w:tcW w:type="dxa" w:w="3439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When all eleven modules are ready for review</w:t>
            </w:r>
          </w:p>
        </w:tc>
        <w:tc>
          <w:tcPr>
            <w:tcW w:type="dxa" w:w="3439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6B5C"/>
                <w:sz w:val="18"/>
              </w:rPr>
              <w:t>50% — 3,700 JOD</w:t>
            </w:r>
          </w:p>
        </w:tc>
      </w:tr>
    </w:tbl>
    <w:p>
      <w:pPr>
        <w:spacing w:before="140" w:after="60"/>
        <w:pBdr>
          <w:bottom w:val="single" w:sz="8" w:space="2" w:color="1F6B5C"/>
        </w:pBdr>
      </w:pPr>
      <w:r>
        <w:rPr>
          <w:rFonts w:ascii="Calibri" w:hAnsi="Calibri" w:eastAsia="Calibri"/>
          <w:b/>
          <w:i w:val="0"/>
          <w:color w:val="0F3A47"/>
          <w:sz w:val="21"/>
        </w:rPr>
        <w:t>5. Commercial notes</w:t>
      </w:r>
    </w:p>
    <w:p>
      <w:pPr>
        <w:spacing w:before="0" w:after="40"/>
      </w:pPr>
      <w:r>
        <w:rPr>
          <w:rFonts w:ascii="Calibri" w:hAnsi="Calibri" w:eastAsia="Calibri"/>
          <w:b w:val="0"/>
          <w:i w:val="0"/>
          <w:color w:val="2C2C2C"/>
          <w:sz w:val="16"/>
        </w:rPr>
        <w:t>Two rounds of revisions per module are included. Further changes at 20 JOD/hour.</w:t>
      </w:r>
    </w:p>
    <w:p>
      <w:pPr>
        <w:spacing w:before="0" w:after="40"/>
      </w:pPr>
      <w:r>
        <w:rPr>
          <w:rFonts w:ascii="Calibri" w:hAnsi="Calibri" w:eastAsia="Calibri"/>
          <w:b w:val="0"/>
          <w:i w:val="0"/>
          <w:color w:val="2C2C2C"/>
          <w:sz w:val="16"/>
        </w:rPr>
        <w:t>nexos.ai / LLM API usage and hosting not included (client keys or pass-through at cost). Expert-support days not included unless separately agreed.</w:t>
      </w:r>
    </w:p>
    <w:p>
      <w:pPr>
        <w:spacing w:before="80"/>
        <w:jc w:val="center"/>
      </w:pPr>
      <w:r>
        <w:rPr>
          <w:rFonts w:ascii="Calibri" w:hAnsi="Calibri" w:eastAsia="Calibri"/>
          <w:b w:val="0"/>
          <w:i/>
          <w:color w:val="5A5A5A"/>
          <w:sz w:val="15"/>
        </w:rPr>
        <w:t>Investment World for Development and Technology  ·  Platform 2 Payment Terms</w:t>
      </w:r>
    </w:p>
    <w:sectPr w:rsidR="00FC693F" w:rsidRPr="0006063C" w:rsidSect="00034616">
      <w:pgSz w:w="11906" w:h="16838"/>
      <w:pgMar w:top="680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