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10318"/>
      </w:tblGrid>
      <w:tr>
        <w:tc>
          <w:tcPr>
            <w:tcW w:type="dxa" w:w="10318"/>
            <w:shd w:fill="0F3A47"/>
            <w:tcBorders>
              <w:top w:val="single" w:sz="4" w:space="0" w:color="0F3A47"/>
              <w:left w:val="single" w:sz="4" w:space="0" w:color="0F3A47"/>
              <w:bottom w:val="single" w:sz="4" w:space="0" w:color="0F3A47"/>
              <w:right w:val="single" w:sz="4" w:space="0" w:color="0F3A47"/>
            </w:tcBorders>
          </w:tcPr>
          <w:p>
            <w:pPr>
              <w:spacing w:before="120" w:after="20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6"/>
              </w:rPr>
              <w:t>INVESTMENT WORLD FOR DEVELOPMENT AND TECHNOLOGY</w:t>
            </w:r>
          </w:p>
          <w:p>
            <w:pPr>
              <w:spacing w:before="20" w:after="20"/>
            </w:pPr>
            <w:r>
              <w:rPr>
                <w:rFonts w:ascii="Calibri" w:hAnsi="Calibri" w:eastAsia="Calibri"/>
                <w:b/>
                <w:i w:val="0"/>
                <w:color w:val="FFFFFF"/>
                <w:sz w:val="32"/>
              </w:rPr>
              <w:t>Payment Terms</w:t>
            </w:r>
          </w:p>
          <w:p>
            <w:pPr>
              <w:spacing w:before="20" w:after="120"/>
            </w:pPr>
            <w:r>
              <w:rPr>
                <w:rFonts w:ascii="Calibri" w:hAnsi="Calibri" w:eastAsia="Calibri"/>
                <w:b w:val="0"/>
                <w:i w:val="0"/>
                <w:color w:val="D5E8E2"/>
                <w:sz w:val="16"/>
              </w:rPr>
              <w:t>Platform 2 — Capacity Building  ·  August 2026  ·  Currency: JOD</w:t>
            </w:r>
          </w:p>
        </w:tc>
      </w:tr>
    </w:tbl>
    <w:p>
      <w:pPr>
        <w:spacing w:before="140" w:after="60"/>
        <w:pBdr>
          <w:bottom w:val="single" w:sz="8" w:space="2" w:color="1F6B5C"/>
        </w:pBdr>
      </w:pPr>
      <w:r>
        <w:rPr>
          <w:rFonts w:ascii="Calibri" w:hAnsi="Calibri" w:eastAsia="Calibri"/>
          <w:b/>
          <w:i w:val="0"/>
          <w:color w:val="0F3A47"/>
          <w:sz w:val="21"/>
        </w:rPr>
        <w:t>1. Hourly rate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59"/>
        <w:gridCol w:w="5159"/>
      </w:tblGrid>
      <w:tr>
        <w:tc>
          <w:tcPr>
            <w:tcW w:type="dxa" w:w="4252"/>
            <w:shd w:fill="F4F7F6"/>
            <w:tcBorders>
              <w:top w:val="single" w:sz="4" w:space="0" w:color="C5D5CF"/>
              <w:left w:val="single" w:sz="4" w:space="0" w:color="C5D5CF"/>
              <w:bottom w:val="single" w:sz="4" w:space="0" w:color="C5D5CF"/>
              <w:right w:val="single" w:sz="4" w:space="0" w:color="C5D5CF"/>
            </w:tcBorders>
          </w:tcPr>
          <w:p>
            <w:pPr>
              <w:spacing w:before="30" w:after="30"/>
              <w:jc w:val="left"/>
            </w:pPr>
            <w:r/>
            <w:r>
              <w:rPr>
                <w:rFonts w:ascii="Calibri" w:hAnsi="Calibri" w:eastAsia="Calibri"/>
                <w:b/>
                <w:i w:val="0"/>
                <w:color w:val="0F3A47"/>
                <w:sz w:val="17"/>
              </w:rPr>
              <w:t>Rate</w:t>
            </w:r>
          </w:p>
        </w:tc>
        <w:tc>
          <w:tcPr>
            <w:tcW w:type="dxa" w:w="5953"/>
            <w:shd w:fill="F4F7F6"/>
            <w:tcBorders>
              <w:top w:val="single" w:sz="4" w:space="0" w:color="C5D5CF"/>
              <w:left w:val="single" w:sz="4" w:space="0" w:color="C5D5CF"/>
              <w:bottom w:val="single" w:sz="4" w:space="0" w:color="C5D5CF"/>
              <w:right w:val="single" w:sz="4" w:space="0" w:color="C5D5CF"/>
            </w:tcBorders>
          </w:tcPr>
          <w:p>
            <w:pPr>
              <w:spacing w:before="30" w:after="30"/>
              <w:jc w:val="left"/>
            </w:pPr>
            <w:r/>
            <w:r>
              <w:rPr>
                <w:rFonts w:ascii="Calibri" w:hAnsi="Calibri" w:eastAsia="Calibri"/>
                <w:b/>
                <w:i w:val="0"/>
                <w:color w:val="1F6B5C"/>
                <w:sz w:val="17"/>
              </w:rPr>
              <w:t>20 JOD / hour</w:t>
            </w:r>
          </w:p>
        </w:tc>
      </w:tr>
    </w:tbl>
    <w:p>
      <w:pPr>
        <w:spacing w:before="140" w:after="60"/>
        <w:pBdr>
          <w:bottom w:val="single" w:sz="8" w:space="2" w:color="1F6B5C"/>
        </w:pBdr>
      </w:pPr>
      <w:r>
        <w:rPr>
          <w:rFonts w:ascii="Calibri" w:hAnsi="Calibri" w:eastAsia="Calibri"/>
          <w:b/>
          <w:i w:val="0"/>
          <w:color w:val="0F3A47"/>
          <w:sz w:val="21"/>
        </w:rPr>
        <w:t>2. Unit of delivery</w:t>
      </w:r>
    </w:p>
    <w:p>
      <w:pPr>
        <w:spacing w:before="0" w:after="60"/>
      </w:pPr>
      <w:r>
        <w:rPr>
          <w:rFonts w:ascii="Calibri" w:hAnsi="Calibri" w:eastAsia="Calibri"/>
          <w:b w:val="0"/>
          <w:i w:val="0"/>
          <w:color w:val="5A5A5A"/>
          <w:sz w:val="16"/>
        </w:rPr>
        <w:t>Pricing is per delivery item (training course 1 + modules 2–10), not per dairy product. Item 1 is a training course only (materials, no agent). Modules 2–10 are a full learning path plus an operational agent on nexos.ai. Module 4 covers production planning and sequencing in one module. Each module / the training course is built for about 45–90 minutes of self-paced learner time.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439"/>
        <w:gridCol w:w="3439"/>
        <w:gridCol w:w="3439"/>
      </w:tblGrid>
      <w:tr>
        <w:tc>
          <w:tcPr>
            <w:tcW w:type="dxa" w:w="4252"/>
            <w:shd w:fill="0F3A47"/>
            <w:tcBorders>
              <w:top w:val="single" w:sz="4" w:space="0" w:color="C5D5CF"/>
              <w:left w:val="single" w:sz="4" w:space="0" w:color="C5D5CF"/>
              <w:bottom w:val="single" w:sz="4" w:space="0" w:color="C5D5CF"/>
              <w:right w:val="single" w:sz="4" w:space="0" w:color="C5D5CF"/>
            </w:tcBorders>
          </w:tcPr>
          <w:p>
            <w:pPr>
              <w:spacing w:before="30" w:after="30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6"/>
              </w:rPr>
              <w:t>Item</w:t>
            </w:r>
          </w:p>
        </w:tc>
        <w:tc>
          <w:tcPr>
            <w:tcW w:type="dxa" w:w="2551"/>
            <w:shd w:fill="0F3A47"/>
            <w:tcBorders>
              <w:top w:val="single" w:sz="4" w:space="0" w:color="C5D5CF"/>
              <w:left w:val="single" w:sz="4" w:space="0" w:color="C5D5CF"/>
              <w:bottom w:val="single" w:sz="4" w:space="0" w:color="C5D5CF"/>
              <w:right w:val="single" w:sz="4" w:space="0" w:color="C5D5CF"/>
            </w:tcBorders>
          </w:tcPr>
          <w:p>
            <w:pPr>
              <w:spacing w:before="30" w:after="30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6"/>
              </w:rPr>
              <w:t>Estimated hours</w:t>
            </w:r>
          </w:p>
        </w:tc>
        <w:tc>
          <w:tcPr>
            <w:tcW w:type="dxa" w:w="3402"/>
            <w:shd w:fill="0F3A47"/>
            <w:tcBorders>
              <w:top w:val="single" w:sz="4" w:space="0" w:color="C5D5CF"/>
              <w:left w:val="single" w:sz="4" w:space="0" w:color="C5D5CF"/>
              <w:bottom w:val="single" w:sz="4" w:space="0" w:color="C5D5CF"/>
              <w:right w:val="single" w:sz="4" w:space="0" w:color="C5D5CF"/>
            </w:tcBorders>
          </w:tcPr>
          <w:p>
            <w:pPr>
              <w:spacing w:before="30" w:after="30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6"/>
              </w:rPr>
              <w:t>Price</w:t>
            </w:r>
          </w:p>
        </w:tc>
      </w:tr>
      <w:tr>
        <w:tc>
          <w:tcPr>
            <w:tcW w:type="dxa" w:w="4252"/>
            <w:shd w:fill="F4F7F6"/>
            <w:tcBorders>
              <w:top w:val="single" w:sz="4" w:space="0" w:color="C5D5CF"/>
              <w:left w:val="single" w:sz="4" w:space="0" w:color="C5D5CF"/>
              <w:bottom w:val="single" w:sz="4" w:space="0" w:color="C5D5CF"/>
              <w:right w:val="single" w:sz="4" w:space="0" w:color="C5D5CF"/>
            </w:tcBorders>
          </w:tcPr>
          <w:p>
            <w:pPr>
              <w:spacing w:before="30" w:after="30"/>
              <w:jc w:val="left"/>
            </w:pPr>
            <w:r/>
            <w:r>
              <w:rPr>
                <w:rFonts w:ascii="Calibri" w:hAnsi="Calibri" w:eastAsia="Calibri"/>
                <w:b/>
                <w:i w:val="0"/>
                <w:color w:val="0F3A47"/>
                <w:sz w:val="16"/>
              </w:rPr>
              <w:t>Training course 1 (materials only)</w:t>
            </w:r>
          </w:p>
        </w:tc>
        <w:tc>
          <w:tcPr>
            <w:tcW w:type="dxa" w:w="2551"/>
            <w:shd w:fill="F4F7F6"/>
            <w:tcBorders>
              <w:top w:val="single" w:sz="4" w:space="0" w:color="C5D5CF"/>
              <w:left w:val="single" w:sz="4" w:space="0" w:color="C5D5CF"/>
              <w:bottom w:val="single" w:sz="4" w:space="0" w:color="C5D5CF"/>
              <w:right w:val="single" w:sz="4" w:space="0" w:color="C5D5CF"/>
            </w:tcBorders>
          </w:tcPr>
          <w:p>
            <w:pPr>
              <w:spacing w:before="30" w:after="30"/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color w:val="2C2C2C"/>
                <w:sz w:val="16"/>
              </w:rPr>
              <w:t>20 hours</w:t>
            </w:r>
          </w:p>
        </w:tc>
        <w:tc>
          <w:tcPr>
            <w:tcW w:type="dxa" w:w="3402"/>
            <w:shd w:fill="F4F7F6"/>
            <w:tcBorders>
              <w:top w:val="single" w:sz="4" w:space="0" w:color="C5D5CF"/>
              <w:left w:val="single" w:sz="4" w:space="0" w:color="C5D5CF"/>
              <w:bottom w:val="single" w:sz="4" w:space="0" w:color="C5D5CF"/>
              <w:right w:val="single" w:sz="4" w:space="0" w:color="C5D5CF"/>
            </w:tcBorders>
          </w:tcPr>
          <w:p>
            <w:pPr>
              <w:spacing w:before="30" w:after="30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2C2C2C"/>
                <w:sz w:val="16"/>
              </w:rPr>
              <w:t>400 JOD</w:t>
            </w:r>
          </w:p>
        </w:tc>
      </w:tr>
      <w:tr>
        <w:tc>
          <w:tcPr>
            <w:tcW w:type="dxa" w:w="4252"/>
            <w:shd w:fill="FFFFFF"/>
            <w:tcBorders>
              <w:top w:val="single" w:sz="4" w:space="0" w:color="C5D5CF"/>
              <w:left w:val="single" w:sz="4" w:space="0" w:color="C5D5CF"/>
              <w:bottom w:val="single" w:sz="4" w:space="0" w:color="C5D5CF"/>
              <w:right w:val="single" w:sz="4" w:space="0" w:color="C5D5CF"/>
            </w:tcBorders>
          </w:tcPr>
          <w:p>
            <w:pPr>
              <w:spacing w:before="30" w:after="30"/>
              <w:jc w:val="left"/>
            </w:pPr>
            <w:r/>
            <w:r>
              <w:rPr>
                <w:rFonts w:ascii="Calibri" w:hAnsi="Calibri" w:eastAsia="Calibri"/>
                <w:b/>
                <w:i w:val="0"/>
                <w:color w:val="0F3A47"/>
                <w:sz w:val="16"/>
              </w:rPr>
              <w:t>Each module 2–10 (module + agent)</w:t>
            </w:r>
          </w:p>
        </w:tc>
        <w:tc>
          <w:tcPr>
            <w:tcW w:type="dxa" w:w="2551"/>
            <w:shd w:fill="FFFFFF"/>
            <w:tcBorders>
              <w:top w:val="single" w:sz="4" w:space="0" w:color="C5D5CF"/>
              <w:left w:val="single" w:sz="4" w:space="0" w:color="C5D5CF"/>
              <w:bottom w:val="single" w:sz="4" w:space="0" w:color="C5D5CF"/>
              <w:right w:val="single" w:sz="4" w:space="0" w:color="C5D5CF"/>
            </w:tcBorders>
          </w:tcPr>
          <w:p>
            <w:pPr>
              <w:spacing w:before="30" w:after="30"/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color w:val="2C2C2C"/>
                <w:sz w:val="16"/>
              </w:rPr>
              <w:t>35 hours</w:t>
            </w:r>
          </w:p>
        </w:tc>
        <w:tc>
          <w:tcPr>
            <w:tcW w:type="dxa" w:w="3402"/>
            <w:shd w:fill="FFFFFF"/>
            <w:tcBorders>
              <w:top w:val="single" w:sz="4" w:space="0" w:color="C5D5CF"/>
              <w:left w:val="single" w:sz="4" w:space="0" w:color="C5D5CF"/>
              <w:bottom w:val="single" w:sz="4" w:space="0" w:color="C5D5CF"/>
              <w:right w:val="single" w:sz="4" w:space="0" w:color="C5D5CF"/>
            </w:tcBorders>
          </w:tcPr>
          <w:p>
            <w:pPr>
              <w:spacing w:before="30" w:after="30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2C2C2C"/>
                <w:sz w:val="16"/>
              </w:rPr>
              <w:t>700 JOD</w:t>
            </w:r>
          </w:p>
        </w:tc>
      </w:tr>
    </w:tbl>
    <w:p>
      <w:pPr>
        <w:spacing w:before="140" w:after="60"/>
        <w:pBdr>
          <w:bottom w:val="single" w:sz="8" w:space="2" w:color="1F6B5C"/>
        </w:pBdr>
      </w:pPr>
      <w:r>
        <w:rPr>
          <w:rFonts w:ascii="Calibri" w:hAnsi="Calibri" w:eastAsia="Calibri"/>
          <w:b/>
          <w:i w:val="0"/>
          <w:color w:val="0F3A47"/>
          <w:sz w:val="21"/>
        </w:rPr>
        <w:t>3. Platform 2 full delivery — project price</w:t>
      </w:r>
    </w:p>
    <w:p>
      <w:pPr>
        <w:spacing w:before="0" w:after="60"/>
      </w:pPr>
      <w:r>
        <w:rPr>
          <w:rFonts w:ascii="Calibri" w:hAnsi="Calibri" w:eastAsia="Calibri"/>
          <w:b w:val="0"/>
          <w:i w:val="0"/>
          <w:color w:val="5A5A5A"/>
          <w:sz w:val="16"/>
        </w:rPr>
        <w:t>Fixed price for the training course plus nine modules as described in the Platform 2 proposal.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59"/>
        <w:gridCol w:w="5159"/>
      </w:tblGrid>
      <w:tr>
        <w:tc>
          <w:tcPr>
            <w:tcW w:type="dxa" w:w="5102"/>
            <w:shd w:fill="0F3A47"/>
            <w:tcBorders>
              <w:top w:val="single" w:sz="4" w:space="0" w:color="C5D5CF"/>
              <w:left w:val="single" w:sz="4" w:space="0" w:color="C5D5CF"/>
              <w:bottom w:val="single" w:sz="4" w:space="0" w:color="C5D5CF"/>
              <w:right w:val="single" w:sz="4" w:space="0" w:color="C5D5CF"/>
            </w:tcBorders>
          </w:tcPr>
          <w:p>
            <w:pPr>
              <w:spacing w:before="30" w:after="30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6"/>
              </w:rPr>
              <w:t>Piece</w:t>
            </w:r>
          </w:p>
        </w:tc>
        <w:tc>
          <w:tcPr>
            <w:tcW w:type="dxa" w:w="5102"/>
            <w:shd w:fill="0F3A47"/>
            <w:tcBorders>
              <w:top w:val="single" w:sz="4" w:space="0" w:color="C5D5CF"/>
              <w:left w:val="single" w:sz="4" w:space="0" w:color="C5D5CF"/>
              <w:bottom w:val="single" w:sz="4" w:space="0" w:color="C5D5CF"/>
              <w:right w:val="single" w:sz="4" w:space="0" w:color="C5D5CF"/>
            </w:tcBorders>
          </w:tcPr>
          <w:p>
            <w:pPr>
              <w:spacing w:before="30" w:after="30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6"/>
              </w:rPr>
              <w:t>Price</w:t>
            </w:r>
          </w:p>
        </w:tc>
      </w:tr>
      <w:tr>
        <w:tc>
          <w:tcPr>
            <w:tcW w:type="dxa" w:w="5102"/>
            <w:shd w:fill="F4F7F6"/>
            <w:tcBorders>
              <w:top w:val="single" w:sz="4" w:space="0" w:color="C5D5CF"/>
              <w:left w:val="single" w:sz="4" w:space="0" w:color="C5D5CF"/>
              <w:bottom w:val="single" w:sz="4" w:space="0" w:color="C5D5CF"/>
              <w:right w:val="single" w:sz="4" w:space="0" w:color="C5D5CF"/>
            </w:tcBorders>
          </w:tcPr>
          <w:p>
            <w:pPr>
              <w:spacing w:before="30" w:after="30"/>
              <w:jc w:val="left"/>
            </w:pPr>
            <w:r/>
            <w:r>
              <w:rPr>
                <w:rFonts w:ascii="Calibri" w:hAnsi="Calibri" w:eastAsia="Calibri"/>
                <w:b/>
                <w:i w:val="0"/>
                <w:color w:val="0F3A47"/>
                <w:sz w:val="16"/>
              </w:rPr>
              <w:t>Training course 1 + modules 2–7</w:t>
            </w:r>
          </w:p>
        </w:tc>
        <w:tc>
          <w:tcPr>
            <w:tcW w:type="dxa" w:w="5102"/>
            <w:shd w:fill="F4F7F6"/>
            <w:tcBorders>
              <w:top w:val="single" w:sz="4" w:space="0" w:color="C5D5CF"/>
              <w:left w:val="single" w:sz="4" w:space="0" w:color="C5D5CF"/>
              <w:bottom w:val="single" w:sz="4" w:space="0" w:color="C5D5CF"/>
              <w:right w:val="single" w:sz="4" w:space="0" w:color="C5D5CF"/>
            </w:tcBorders>
          </w:tcPr>
          <w:p>
            <w:pPr>
              <w:spacing w:before="30" w:after="30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2C2C2C"/>
                <w:sz w:val="16"/>
              </w:rPr>
              <w:t>4,600 JOD</w:t>
            </w:r>
          </w:p>
        </w:tc>
      </w:tr>
      <w:tr>
        <w:tc>
          <w:tcPr>
            <w:tcW w:type="dxa" w:w="5102"/>
            <w:shd w:fill="FFFFFF"/>
            <w:tcBorders>
              <w:top w:val="single" w:sz="4" w:space="0" w:color="C5D5CF"/>
              <w:left w:val="single" w:sz="4" w:space="0" w:color="C5D5CF"/>
              <w:bottom w:val="single" w:sz="4" w:space="0" w:color="C5D5CF"/>
              <w:right w:val="single" w:sz="4" w:space="0" w:color="C5D5CF"/>
            </w:tcBorders>
          </w:tcPr>
          <w:p>
            <w:pPr>
              <w:spacing w:before="30" w:after="30"/>
              <w:jc w:val="left"/>
            </w:pPr>
            <w:r/>
            <w:r>
              <w:rPr>
                <w:rFonts w:ascii="Calibri" w:hAnsi="Calibri" w:eastAsia="Calibri"/>
                <w:b/>
                <w:i w:val="0"/>
                <w:color w:val="0F3A47"/>
                <w:sz w:val="16"/>
              </w:rPr>
              <w:t>Modules 8–9 (5% discount on each)</w:t>
            </w:r>
          </w:p>
        </w:tc>
        <w:tc>
          <w:tcPr>
            <w:tcW w:type="dxa" w:w="5102"/>
            <w:shd w:fill="FFFFFF"/>
            <w:tcBorders>
              <w:top w:val="single" w:sz="4" w:space="0" w:color="C5D5CF"/>
              <w:left w:val="single" w:sz="4" w:space="0" w:color="C5D5CF"/>
              <w:bottom w:val="single" w:sz="4" w:space="0" w:color="C5D5CF"/>
              <w:right w:val="single" w:sz="4" w:space="0" w:color="C5D5CF"/>
            </w:tcBorders>
          </w:tcPr>
          <w:p>
            <w:pPr>
              <w:spacing w:before="30" w:after="30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2C2C2C"/>
                <w:sz w:val="16"/>
              </w:rPr>
              <w:t>2,000 JOD</w:t>
            </w:r>
          </w:p>
        </w:tc>
      </w:tr>
      <w:tr>
        <w:tc>
          <w:tcPr>
            <w:tcW w:type="dxa" w:w="5102"/>
            <w:shd w:fill="F4F7F6"/>
            <w:tcBorders>
              <w:top w:val="single" w:sz="4" w:space="0" w:color="C5D5CF"/>
              <w:left w:val="single" w:sz="4" w:space="0" w:color="C5D5CF"/>
              <w:bottom w:val="single" w:sz="4" w:space="0" w:color="C5D5CF"/>
              <w:right w:val="single" w:sz="4" w:space="0" w:color="C5D5CF"/>
            </w:tcBorders>
          </w:tcPr>
          <w:p>
            <w:pPr>
              <w:spacing w:before="30" w:after="30"/>
              <w:jc w:val="left"/>
            </w:pPr>
            <w:r/>
            <w:r>
              <w:rPr>
                <w:rFonts w:ascii="Calibri" w:hAnsi="Calibri" w:eastAsia="Calibri"/>
                <w:b/>
                <w:i w:val="0"/>
                <w:color w:val="0F3A47"/>
                <w:sz w:val="16"/>
              </w:rPr>
              <w:t>Module 10</w:t>
            </w:r>
          </w:p>
        </w:tc>
        <w:tc>
          <w:tcPr>
            <w:tcW w:type="dxa" w:w="5102"/>
            <w:shd w:fill="F4F7F6"/>
            <w:tcBorders>
              <w:top w:val="single" w:sz="4" w:space="0" w:color="C5D5CF"/>
              <w:left w:val="single" w:sz="4" w:space="0" w:color="C5D5CF"/>
              <w:bottom w:val="single" w:sz="4" w:space="0" w:color="C5D5CF"/>
              <w:right w:val="single" w:sz="4" w:space="0" w:color="C5D5CF"/>
            </w:tcBorders>
          </w:tcPr>
          <w:p>
            <w:pPr>
              <w:spacing w:before="30" w:after="30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2C2C2C"/>
                <w:sz w:val="16"/>
              </w:rPr>
              <w:t>Included free</w:t>
            </w:r>
          </w:p>
        </w:tc>
      </w:tr>
      <w:tr>
        <w:tc>
          <w:tcPr>
            <w:tcW w:type="dxa" w:w="5102"/>
            <w:shd w:fill="E7F0ED"/>
            <w:tcBorders>
              <w:top w:val="single" w:sz="4" w:space="0" w:color="C5D5CF"/>
              <w:left w:val="single" w:sz="4" w:space="0" w:color="C5D5CF"/>
              <w:bottom w:val="single" w:sz="4" w:space="0" w:color="C5D5CF"/>
              <w:right w:val="single" w:sz="4" w:space="0" w:color="C5D5CF"/>
            </w:tcBorders>
          </w:tcPr>
          <w:p>
            <w:pPr>
              <w:spacing w:before="30" w:after="30"/>
              <w:jc w:val="left"/>
            </w:pPr>
            <w:r/>
            <w:r>
              <w:rPr>
                <w:rFonts w:ascii="Calibri" w:hAnsi="Calibri" w:eastAsia="Calibri"/>
                <w:b/>
                <w:i w:val="0"/>
                <w:color w:val="0F3A47"/>
                <w:sz w:val="16"/>
              </w:rPr>
              <w:t>Project price</w:t>
            </w:r>
          </w:p>
        </w:tc>
        <w:tc>
          <w:tcPr>
            <w:tcW w:type="dxa" w:w="5102"/>
            <w:shd w:fill="E7F0ED"/>
            <w:tcBorders>
              <w:top w:val="single" w:sz="4" w:space="0" w:color="C5D5CF"/>
              <w:left w:val="single" w:sz="4" w:space="0" w:color="C5D5CF"/>
              <w:bottom w:val="single" w:sz="4" w:space="0" w:color="C5D5CF"/>
              <w:right w:val="single" w:sz="4" w:space="0" w:color="C5D5CF"/>
            </w:tcBorders>
          </w:tcPr>
          <w:p>
            <w:pPr>
              <w:spacing w:before="30" w:after="30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1F6B5C"/>
                <w:sz w:val="17"/>
              </w:rPr>
              <w:t>6,600 JOD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5159"/>
        <w:gridCol w:w="5159"/>
      </w:tblGrid>
      <w:tr>
        <w:tc>
          <w:tcPr>
            <w:tcW w:type="dxa" w:w="5159"/>
            <w:shd w:fill="F4F7F6"/>
            <w:tcBorders>
              <w:top w:val="single" w:sz="4" w:space="0" w:color="C5D5CF"/>
              <w:left w:val="single" w:sz="4" w:space="0" w:color="C5D5CF"/>
              <w:bottom w:val="single" w:sz="4" w:space="0" w:color="C5D5CF"/>
              <w:right w:val="single" w:sz="4" w:space="0" w:color="C5D5CF"/>
            </w:tcBorders>
          </w:tcPr>
          <w:p>
            <w:pPr>
              <w:spacing w:before="30" w:after="30"/>
              <w:jc w:val="left"/>
            </w:pPr>
            <w:r/>
            <w:r>
              <w:rPr>
                <w:rFonts w:ascii="Calibri" w:hAnsi="Calibri" w:eastAsia="Calibri"/>
                <w:b/>
                <w:i w:val="0"/>
                <w:color w:val="0F3A47"/>
                <w:sz w:val="16"/>
              </w:rPr>
              <w:t>Total estimated development time</w:t>
            </w:r>
          </w:p>
        </w:tc>
        <w:tc>
          <w:tcPr>
            <w:tcW w:type="dxa" w:w="5159"/>
            <w:shd w:fill="F4F7F6"/>
            <w:tcBorders>
              <w:top w:val="single" w:sz="4" w:space="0" w:color="C5D5CF"/>
              <w:left w:val="single" w:sz="4" w:space="0" w:color="C5D5CF"/>
              <w:bottom w:val="single" w:sz="4" w:space="0" w:color="C5D5CF"/>
              <w:right w:val="single" w:sz="4" w:space="0" w:color="C5D5CF"/>
            </w:tcBorders>
          </w:tcPr>
          <w:p>
            <w:pPr>
              <w:spacing w:before="30" w:after="30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2C2C2C"/>
                <w:sz w:val="16"/>
              </w:rPr>
              <w:t>335 hours</w:t>
            </w:r>
          </w:p>
        </w:tc>
      </w:tr>
      <w:tr>
        <w:tc>
          <w:tcPr>
            <w:tcW w:type="dxa" w:w="5159"/>
            <w:shd w:fill="FFFFFF"/>
            <w:tcBorders>
              <w:top w:val="single" w:sz="4" w:space="0" w:color="C5D5CF"/>
              <w:left w:val="single" w:sz="4" w:space="0" w:color="C5D5CF"/>
              <w:bottom w:val="single" w:sz="4" w:space="0" w:color="C5D5CF"/>
              <w:right w:val="single" w:sz="4" w:space="0" w:color="C5D5CF"/>
            </w:tcBorders>
          </w:tcPr>
          <w:p>
            <w:pPr>
              <w:spacing w:before="30" w:after="30"/>
              <w:jc w:val="left"/>
            </w:pPr>
            <w:r/>
            <w:r>
              <w:rPr>
                <w:rFonts w:ascii="Calibri" w:hAnsi="Calibri" w:eastAsia="Calibri"/>
                <w:b/>
                <w:i w:val="0"/>
                <w:color w:val="0F3A47"/>
                <w:sz w:val="16"/>
              </w:rPr>
              <w:t>Includes</w:t>
            </w:r>
          </w:p>
        </w:tc>
        <w:tc>
          <w:tcPr>
            <w:tcW w:type="dxa" w:w="5159"/>
            <w:shd w:fill="FFFFFF"/>
            <w:tcBorders>
              <w:top w:val="single" w:sz="4" w:space="0" w:color="C5D5CF"/>
              <w:left w:val="single" w:sz="4" w:space="0" w:color="C5D5CF"/>
              <w:bottom w:val="single" w:sz="4" w:space="0" w:color="C5D5CF"/>
              <w:right w:val="single" w:sz="4" w:space="0" w:color="C5D5CF"/>
            </w:tcBorders>
          </w:tcPr>
          <w:p>
            <w:pPr>
              <w:spacing w:before="30" w:after="3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2C2C2C"/>
                <w:sz w:val="16"/>
              </w:rPr>
              <w:t>Module 10 at no charge; 5% reduction on modules 8–9; sequencing merged into Module 4</w:t>
            </w:r>
          </w:p>
        </w:tc>
      </w:tr>
      <w:tr>
        <w:tc>
          <w:tcPr>
            <w:tcW w:type="dxa" w:w="5159"/>
            <w:shd w:fill="F4F7F6"/>
            <w:tcBorders>
              <w:top w:val="single" w:sz="4" w:space="0" w:color="C5D5CF"/>
              <w:left w:val="single" w:sz="4" w:space="0" w:color="C5D5CF"/>
              <w:bottom w:val="single" w:sz="4" w:space="0" w:color="C5D5CF"/>
              <w:right w:val="single" w:sz="4" w:space="0" w:color="C5D5CF"/>
            </w:tcBorders>
          </w:tcPr>
          <w:p>
            <w:pPr>
              <w:spacing w:before="30" w:after="30"/>
              <w:jc w:val="left"/>
            </w:pPr>
            <w:r/>
            <w:r>
              <w:rPr>
                <w:rFonts w:ascii="Calibri" w:hAnsi="Calibri" w:eastAsia="Calibri"/>
                <w:b/>
                <w:i w:val="0"/>
                <w:color w:val="0F3A47"/>
                <w:sz w:val="16"/>
              </w:rPr>
              <w:t>Prototype</w:t>
            </w:r>
          </w:p>
        </w:tc>
        <w:tc>
          <w:tcPr>
            <w:tcW w:type="dxa" w:w="5159"/>
            <w:shd w:fill="F4F7F6"/>
            <w:tcBorders>
              <w:top w:val="single" w:sz="4" w:space="0" w:color="C5D5CF"/>
              <w:left w:val="single" w:sz="4" w:space="0" w:color="C5D5CF"/>
              <w:bottom w:val="single" w:sz="4" w:space="0" w:color="C5D5CF"/>
              <w:right w:val="single" w:sz="4" w:space="0" w:color="C5D5CF"/>
            </w:tcBorders>
          </w:tcPr>
          <w:p>
            <w:pPr>
              <w:spacing w:before="30" w:after="3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2C2C2C"/>
                <w:sz w:val="16"/>
              </w:rPr>
              <w:t>Demand forecasting demo already delivered — free of charge</w:t>
            </w:r>
          </w:p>
        </w:tc>
      </w:tr>
    </w:tbl>
    <w:p>
      <w:pPr>
        <w:spacing w:before="140" w:after="60"/>
        <w:pBdr>
          <w:bottom w:val="single" w:sz="8" w:space="2" w:color="1F6B5C"/>
        </w:pBdr>
      </w:pPr>
      <w:r>
        <w:rPr>
          <w:rFonts w:ascii="Calibri" w:hAnsi="Calibri" w:eastAsia="Calibri"/>
          <w:b/>
          <w:i w:val="0"/>
          <w:color w:val="0F3A47"/>
          <w:sz w:val="21"/>
        </w:rPr>
        <w:t>4. Payment schedule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439"/>
        <w:gridCol w:w="3439"/>
        <w:gridCol w:w="3439"/>
      </w:tblGrid>
      <w:tr>
        <w:tc>
          <w:tcPr>
            <w:tcW w:type="dxa" w:w="3439"/>
            <w:shd w:fill="0F3A47"/>
            <w:tcBorders>
              <w:top w:val="single" w:sz="4" w:space="0" w:color="C5D5CF"/>
              <w:left w:val="single" w:sz="4" w:space="0" w:color="C5D5CF"/>
              <w:bottom w:val="single" w:sz="4" w:space="0" w:color="C5D5CF"/>
              <w:right w:val="single" w:sz="4" w:space="0" w:color="C5D5CF"/>
            </w:tcBorders>
          </w:tcPr>
          <w:p>
            <w:pPr>
              <w:spacing w:before="30" w:after="30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6"/>
              </w:rPr>
              <w:t>Milestone</w:t>
            </w:r>
          </w:p>
        </w:tc>
        <w:tc>
          <w:tcPr>
            <w:tcW w:type="dxa" w:w="3439"/>
            <w:shd w:fill="0F3A47"/>
            <w:tcBorders>
              <w:top w:val="single" w:sz="4" w:space="0" w:color="C5D5CF"/>
              <w:left w:val="single" w:sz="4" w:space="0" w:color="C5D5CF"/>
              <w:bottom w:val="single" w:sz="4" w:space="0" w:color="C5D5CF"/>
              <w:right w:val="single" w:sz="4" w:space="0" w:color="C5D5CF"/>
            </w:tcBorders>
          </w:tcPr>
          <w:p>
            <w:pPr>
              <w:spacing w:before="30" w:after="30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6"/>
              </w:rPr>
              <w:t>When</w:t>
            </w:r>
          </w:p>
        </w:tc>
        <w:tc>
          <w:tcPr>
            <w:tcW w:type="dxa" w:w="3439"/>
            <w:shd w:fill="0F3A47"/>
            <w:tcBorders>
              <w:top w:val="single" w:sz="4" w:space="0" w:color="C5D5CF"/>
              <w:left w:val="single" w:sz="4" w:space="0" w:color="C5D5CF"/>
              <w:bottom w:val="single" w:sz="4" w:space="0" w:color="C5D5CF"/>
              <w:right w:val="single" w:sz="4" w:space="0" w:color="C5D5CF"/>
            </w:tcBorders>
          </w:tcPr>
          <w:p>
            <w:pPr>
              <w:spacing w:before="30" w:after="30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6"/>
              </w:rPr>
              <w:t>Amount</w:t>
            </w:r>
          </w:p>
        </w:tc>
      </w:tr>
      <w:tr>
        <w:tc>
          <w:tcPr>
            <w:tcW w:type="dxa" w:w="3439"/>
            <w:shd w:fill="F4F7F6"/>
            <w:tcBorders>
              <w:top w:val="single" w:sz="4" w:space="0" w:color="C5D5CF"/>
              <w:left w:val="single" w:sz="4" w:space="0" w:color="C5D5CF"/>
              <w:bottom w:val="single" w:sz="4" w:space="0" w:color="C5D5CF"/>
              <w:right w:val="single" w:sz="4" w:space="0" w:color="C5D5CF"/>
            </w:tcBorders>
          </w:tcPr>
          <w:p>
            <w:pPr>
              <w:spacing w:before="30" w:after="30"/>
              <w:jc w:val="left"/>
            </w:pPr>
            <w:r/>
            <w:r>
              <w:rPr>
                <w:rFonts w:ascii="Calibri" w:hAnsi="Calibri" w:eastAsia="Calibri"/>
                <w:b/>
                <w:i w:val="0"/>
                <w:color w:val="0F3A47"/>
                <w:sz w:val="17"/>
              </w:rPr>
              <w:t>Deposit</w:t>
            </w:r>
          </w:p>
        </w:tc>
        <w:tc>
          <w:tcPr>
            <w:tcW w:type="dxa" w:w="3439"/>
            <w:shd w:fill="F4F7F6"/>
            <w:tcBorders>
              <w:top w:val="single" w:sz="4" w:space="0" w:color="C5D5CF"/>
              <w:left w:val="single" w:sz="4" w:space="0" w:color="C5D5CF"/>
              <w:bottom w:val="single" w:sz="4" w:space="0" w:color="C5D5CF"/>
              <w:right w:val="single" w:sz="4" w:space="0" w:color="C5D5CF"/>
            </w:tcBorders>
          </w:tcPr>
          <w:p>
            <w:pPr>
              <w:spacing w:before="30" w:after="3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2C2C2C"/>
                <w:sz w:val="17"/>
              </w:rPr>
              <w:t>On agreement / start of work</w:t>
            </w:r>
          </w:p>
        </w:tc>
        <w:tc>
          <w:tcPr>
            <w:tcW w:type="dxa" w:w="3439"/>
            <w:shd w:fill="F4F7F6"/>
            <w:tcBorders>
              <w:top w:val="single" w:sz="4" w:space="0" w:color="C5D5CF"/>
              <w:left w:val="single" w:sz="4" w:space="0" w:color="C5D5CF"/>
              <w:bottom w:val="single" w:sz="4" w:space="0" w:color="C5D5CF"/>
              <w:right w:val="single" w:sz="4" w:space="0" w:color="C5D5CF"/>
            </w:tcBorders>
          </w:tcPr>
          <w:p>
            <w:pPr>
              <w:spacing w:before="30" w:after="30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1F6B5C"/>
                <w:sz w:val="18"/>
              </w:rPr>
              <w:t>50% — 3,300 JOD</w:t>
            </w:r>
          </w:p>
        </w:tc>
      </w:tr>
      <w:tr>
        <w:tc>
          <w:tcPr>
            <w:tcW w:type="dxa" w:w="3439"/>
            <w:shd w:fill="FFFFFF"/>
            <w:tcBorders>
              <w:top w:val="single" w:sz="4" w:space="0" w:color="C5D5CF"/>
              <w:left w:val="single" w:sz="4" w:space="0" w:color="C5D5CF"/>
              <w:bottom w:val="single" w:sz="4" w:space="0" w:color="C5D5CF"/>
              <w:right w:val="single" w:sz="4" w:space="0" w:color="C5D5CF"/>
            </w:tcBorders>
          </w:tcPr>
          <w:p>
            <w:pPr>
              <w:spacing w:before="30" w:after="30"/>
              <w:jc w:val="left"/>
            </w:pPr>
            <w:r/>
            <w:r>
              <w:rPr>
                <w:rFonts w:ascii="Calibri" w:hAnsi="Calibri" w:eastAsia="Calibri"/>
                <w:b/>
                <w:i w:val="0"/>
                <w:color w:val="0F3A47"/>
                <w:sz w:val="17"/>
              </w:rPr>
              <w:t>Delivery</w:t>
            </w:r>
          </w:p>
        </w:tc>
        <w:tc>
          <w:tcPr>
            <w:tcW w:type="dxa" w:w="3439"/>
            <w:shd w:fill="FFFFFF"/>
            <w:tcBorders>
              <w:top w:val="single" w:sz="4" w:space="0" w:color="C5D5CF"/>
              <w:left w:val="single" w:sz="4" w:space="0" w:color="C5D5CF"/>
              <w:bottom w:val="single" w:sz="4" w:space="0" w:color="C5D5CF"/>
              <w:right w:val="single" w:sz="4" w:space="0" w:color="C5D5CF"/>
            </w:tcBorders>
          </w:tcPr>
          <w:p>
            <w:pPr>
              <w:spacing w:before="30" w:after="3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2C2C2C"/>
                <w:sz w:val="17"/>
              </w:rPr>
              <w:t>When the training course and all nine modules are ready for review</w:t>
            </w:r>
          </w:p>
        </w:tc>
        <w:tc>
          <w:tcPr>
            <w:tcW w:type="dxa" w:w="3439"/>
            <w:shd w:fill="FFFFFF"/>
            <w:tcBorders>
              <w:top w:val="single" w:sz="4" w:space="0" w:color="C5D5CF"/>
              <w:left w:val="single" w:sz="4" w:space="0" w:color="C5D5CF"/>
              <w:bottom w:val="single" w:sz="4" w:space="0" w:color="C5D5CF"/>
              <w:right w:val="single" w:sz="4" w:space="0" w:color="C5D5CF"/>
            </w:tcBorders>
          </w:tcPr>
          <w:p>
            <w:pPr>
              <w:spacing w:before="30" w:after="30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1F6B5C"/>
                <w:sz w:val="18"/>
              </w:rPr>
              <w:t>50% — 3,300 JOD</w:t>
            </w:r>
          </w:p>
        </w:tc>
      </w:tr>
    </w:tbl>
    <w:p>
      <w:pPr>
        <w:spacing w:before="140" w:after="60"/>
        <w:pBdr>
          <w:bottom w:val="single" w:sz="8" w:space="2" w:color="1F6B5C"/>
        </w:pBdr>
      </w:pPr>
      <w:r>
        <w:rPr>
          <w:rFonts w:ascii="Calibri" w:hAnsi="Calibri" w:eastAsia="Calibri"/>
          <w:b/>
          <w:i w:val="0"/>
          <w:color w:val="0F3A47"/>
          <w:sz w:val="21"/>
        </w:rPr>
        <w:t>5. Estimated API &amp; platform costs</w:t>
      </w:r>
    </w:p>
    <w:p>
      <w:pPr>
        <w:spacing w:before="0" w:after="40"/>
      </w:pPr>
      <w:r>
        <w:rPr>
          <w:rFonts w:ascii="Calibri" w:hAnsi="Calibri" w:eastAsia="Calibri"/>
          <w:b w:val="0"/>
          <w:i w:val="0"/>
          <w:color w:val="5A5A5A"/>
          <w:sz w:val="16"/>
        </w:rPr>
        <w:t>Not included in the project price. The client provides API keys, or usage is passed through at cost.</w:t>
      </w:r>
    </w:p>
    <w:p>
      <w:pPr>
        <w:spacing w:before="0" w:after="40"/>
      </w:pPr>
      <w:r>
        <w:rPr>
          <w:rFonts w:ascii="Calibri" w:hAnsi="Calibri" w:eastAsia="Calibri"/>
          <w:b w:val="0"/>
          <w:i w:val="0"/>
          <w:color w:val="2C2C2C"/>
          <w:sz w:val="16"/>
        </w:rPr>
        <w:t>The platform may eventually serve up to 500–1,000 registered users across the programme. LLM cost depends on active users in a given month, not on how many people have an account.</w:t>
      </w:r>
    </w:p>
    <w:p>
      <w:pPr>
        <w:spacing w:before="0" w:after="60"/>
      </w:pPr>
      <w:r>
        <w:rPr>
          <w:rFonts w:ascii="Calibri" w:hAnsi="Calibri" w:eastAsia="Calibri"/>
          <w:b w:val="0"/>
          <w:i w:val="0"/>
          <w:color w:val="2C2C2C"/>
          <w:sz w:val="16"/>
        </w:rPr>
        <w:t>Active user: someone who runs the training course, a module, or an agent that month (practice data, follow-up questions, or a company file upload). Someone who only has access and does not use the agents that month is not counted. Figures below are indicative; actual spend depends on model choice and CSV size.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439"/>
        <w:gridCol w:w="3439"/>
        <w:gridCol w:w="3439"/>
      </w:tblGrid>
      <w:tr>
        <w:tc>
          <w:tcPr>
            <w:tcW w:type="dxa" w:w="4082"/>
            <w:shd w:fill="0F3A47"/>
            <w:tcBorders>
              <w:top w:val="single" w:sz="4" w:space="0" w:color="C5D5CF"/>
              <w:left w:val="single" w:sz="4" w:space="0" w:color="C5D5CF"/>
              <w:bottom w:val="single" w:sz="4" w:space="0" w:color="C5D5CF"/>
              <w:right w:val="single" w:sz="4" w:space="0" w:color="C5D5CF"/>
            </w:tcBorders>
          </w:tcPr>
          <w:p>
            <w:pPr>
              <w:spacing w:before="30" w:after="30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6"/>
              </w:rPr>
              <w:t>Item</w:t>
            </w:r>
          </w:p>
        </w:tc>
        <w:tc>
          <w:tcPr>
            <w:tcW w:type="dxa" w:w="2721"/>
            <w:shd w:fill="0F3A47"/>
            <w:tcBorders>
              <w:top w:val="single" w:sz="4" w:space="0" w:color="C5D5CF"/>
              <w:left w:val="single" w:sz="4" w:space="0" w:color="C5D5CF"/>
              <w:bottom w:val="single" w:sz="4" w:space="0" w:color="C5D5CF"/>
              <w:right w:val="single" w:sz="4" w:space="0" w:color="C5D5CF"/>
            </w:tcBorders>
          </w:tcPr>
          <w:p>
            <w:pPr>
              <w:spacing w:before="30" w:after="30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6"/>
              </w:rPr>
              <w:t>Active users that month</w:t>
            </w:r>
          </w:p>
        </w:tc>
        <w:tc>
          <w:tcPr>
            <w:tcW w:type="dxa" w:w="3402"/>
            <w:shd w:fill="0F3A47"/>
            <w:tcBorders>
              <w:top w:val="single" w:sz="4" w:space="0" w:color="C5D5CF"/>
              <w:left w:val="single" w:sz="4" w:space="0" w:color="C5D5CF"/>
              <w:bottom w:val="single" w:sz="4" w:space="0" w:color="C5D5CF"/>
              <w:right w:val="single" w:sz="4" w:space="0" w:color="C5D5CF"/>
            </w:tcBorders>
          </w:tcPr>
          <w:p>
            <w:pPr>
              <w:spacing w:before="30" w:after="30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6"/>
              </w:rPr>
              <w:t>Estimated cost</w:t>
            </w:r>
          </w:p>
        </w:tc>
      </w:tr>
      <w:tr>
        <w:tc>
          <w:tcPr>
            <w:tcW w:type="dxa" w:w="4082"/>
            <w:shd w:fill="F4F7F6"/>
            <w:tcBorders>
              <w:top w:val="single" w:sz="4" w:space="0" w:color="C5D5CF"/>
              <w:left w:val="single" w:sz="4" w:space="0" w:color="C5D5CF"/>
              <w:bottom w:val="single" w:sz="4" w:space="0" w:color="C5D5CF"/>
              <w:right w:val="single" w:sz="4" w:space="0" w:color="C5D5CF"/>
            </w:tcBorders>
          </w:tcPr>
          <w:p>
            <w:pPr>
              <w:spacing w:before="30" w:after="3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2C2C2C"/>
                <w:sz w:val="16"/>
              </w:rPr>
              <w:t>nexos.ai platform subscription</w:t>
            </w:r>
          </w:p>
        </w:tc>
        <w:tc>
          <w:tcPr>
            <w:tcW w:type="dxa" w:w="2721"/>
            <w:shd w:fill="F4F7F6"/>
            <w:tcBorders>
              <w:top w:val="single" w:sz="4" w:space="0" w:color="C5D5CF"/>
              <w:left w:val="single" w:sz="4" w:space="0" w:color="C5D5CF"/>
              <w:bottom w:val="single" w:sz="4" w:space="0" w:color="C5D5CF"/>
              <w:right w:val="single" w:sz="4" w:space="0" w:color="C5D5CF"/>
            </w:tcBorders>
          </w:tcPr>
          <w:p>
            <w:pPr>
              <w:spacing w:before="30" w:after="30"/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color w:val="2C2C2C"/>
                <w:sz w:val="16"/>
              </w:rPr>
              <w:t>Not per user</w:t>
            </w:r>
          </w:p>
        </w:tc>
        <w:tc>
          <w:tcPr>
            <w:tcW w:type="dxa" w:w="3402"/>
            <w:shd w:fill="F4F7F6"/>
            <w:tcBorders>
              <w:top w:val="single" w:sz="4" w:space="0" w:color="C5D5CF"/>
              <w:left w:val="single" w:sz="4" w:space="0" w:color="C5D5CF"/>
              <w:bottom w:val="single" w:sz="4" w:space="0" w:color="C5D5CF"/>
              <w:right w:val="single" w:sz="4" w:space="0" w:color="C5D5CF"/>
            </w:tcBorders>
          </w:tcPr>
          <w:p>
            <w:pPr>
              <w:spacing w:before="30" w:after="30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2C2C2C"/>
                <w:sz w:val="16"/>
              </w:rPr>
              <w:t>~20 EUR / month</w:t>
            </w:r>
          </w:p>
        </w:tc>
      </w:tr>
      <w:tr>
        <w:tc>
          <w:tcPr>
            <w:tcW w:type="dxa" w:w="4082"/>
            <w:shd w:fill="FFFFFF"/>
            <w:tcBorders>
              <w:top w:val="single" w:sz="4" w:space="0" w:color="C5D5CF"/>
              <w:left w:val="single" w:sz="4" w:space="0" w:color="C5D5CF"/>
              <w:bottom w:val="single" w:sz="4" w:space="0" w:color="C5D5CF"/>
              <w:right w:val="single" w:sz="4" w:space="0" w:color="C5D5CF"/>
            </w:tcBorders>
          </w:tcPr>
          <w:p>
            <w:pPr>
              <w:spacing w:before="30" w:after="3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2C2C2C"/>
                <w:sz w:val="16"/>
              </w:rPr>
              <w:t>LLM API — live platform (light use)</w:t>
            </w:r>
          </w:p>
        </w:tc>
        <w:tc>
          <w:tcPr>
            <w:tcW w:type="dxa" w:w="2721"/>
            <w:shd w:fill="FFFFFF"/>
            <w:tcBorders>
              <w:top w:val="single" w:sz="4" w:space="0" w:color="C5D5CF"/>
              <w:left w:val="single" w:sz="4" w:space="0" w:color="C5D5CF"/>
              <w:bottom w:val="single" w:sz="4" w:space="0" w:color="C5D5CF"/>
              <w:right w:val="single" w:sz="4" w:space="0" w:color="C5D5CF"/>
            </w:tcBorders>
          </w:tcPr>
          <w:p>
            <w:pPr>
              <w:spacing w:before="30" w:after="30"/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color w:val="2C2C2C"/>
                <w:sz w:val="16"/>
              </w:rPr>
              <w:t>~25 – 100</w:t>
            </w:r>
          </w:p>
        </w:tc>
        <w:tc>
          <w:tcPr>
            <w:tcW w:type="dxa" w:w="3402"/>
            <w:shd w:fill="FFFFFF"/>
            <w:tcBorders>
              <w:top w:val="single" w:sz="4" w:space="0" w:color="C5D5CF"/>
              <w:left w:val="single" w:sz="4" w:space="0" w:color="C5D5CF"/>
              <w:bottom w:val="single" w:sz="4" w:space="0" w:color="C5D5CF"/>
              <w:right w:val="single" w:sz="4" w:space="0" w:color="C5D5CF"/>
            </w:tcBorders>
          </w:tcPr>
          <w:p>
            <w:pPr>
              <w:spacing w:before="30" w:after="30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2C2C2C"/>
                <w:sz w:val="16"/>
              </w:rPr>
              <w:t>~25 – 100 JOD / month</w:t>
            </w:r>
          </w:p>
        </w:tc>
      </w:tr>
      <w:tr>
        <w:tc>
          <w:tcPr>
            <w:tcW w:type="dxa" w:w="4082"/>
            <w:shd w:fill="F4F7F6"/>
            <w:tcBorders>
              <w:top w:val="single" w:sz="4" w:space="0" w:color="C5D5CF"/>
              <w:left w:val="single" w:sz="4" w:space="0" w:color="C5D5CF"/>
              <w:bottom w:val="single" w:sz="4" w:space="0" w:color="C5D5CF"/>
              <w:right w:val="single" w:sz="4" w:space="0" w:color="C5D5CF"/>
            </w:tcBorders>
          </w:tcPr>
          <w:p>
            <w:pPr>
              <w:spacing w:before="30" w:after="3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2C2C2C"/>
                <w:sz w:val="16"/>
              </w:rPr>
              <w:t>LLM API — live platform (moderate use)</w:t>
            </w:r>
          </w:p>
        </w:tc>
        <w:tc>
          <w:tcPr>
            <w:tcW w:type="dxa" w:w="2721"/>
            <w:shd w:fill="F4F7F6"/>
            <w:tcBorders>
              <w:top w:val="single" w:sz="4" w:space="0" w:color="C5D5CF"/>
              <w:left w:val="single" w:sz="4" w:space="0" w:color="C5D5CF"/>
              <w:bottom w:val="single" w:sz="4" w:space="0" w:color="C5D5CF"/>
              <w:right w:val="single" w:sz="4" w:space="0" w:color="C5D5CF"/>
            </w:tcBorders>
          </w:tcPr>
          <w:p>
            <w:pPr>
              <w:spacing w:before="30" w:after="30"/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color w:val="2C2C2C"/>
                <w:sz w:val="16"/>
              </w:rPr>
              <w:t>~100 – 300</w:t>
            </w:r>
          </w:p>
        </w:tc>
        <w:tc>
          <w:tcPr>
            <w:tcW w:type="dxa" w:w="3402"/>
            <w:shd w:fill="F4F7F6"/>
            <w:tcBorders>
              <w:top w:val="single" w:sz="4" w:space="0" w:color="C5D5CF"/>
              <w:left w:val="single" w:sz="4" w:space="0" w:color="C5D5CF"/>
              <w:bottom w:val="single" w:sz="4" w:space="0" w:color="C5D5CF"/>
              <w:right w:val="single" w:sz="4" w:space="0" w:color="C5D5CF"/>
            </w:tcBorders>
          </w:tcPr>
          <w:p>
            <w:pPr>
              <w:spacing w:before="30" w:after="30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2C2C2C"/>
                <w:sz w:val="16"/>
              </w:rPr>
              <w:t>~100 – 300 JOD / month</w:t>
            </w:r>
          </w:p>
        </w:tc>
      </w:tr>
      <w:tr>
        <w:tc>
          <w:tcPr>
            <w:tcW w:type="dxa" w:w="4082"/>
            <w:shd w:fill="FFFFFF"/>
            <w:tcBorders>
              <w:top w:val="single" w:sz="4" w:space="0" w:color="C5D5CF"/>
              <w:left w:val="single" w:sz="4" w:space="0" w:color="C5D5CF"/>
              <w:bottom w:val="single" w:sz="4" w:space="0" w:color="C5D5CF"/>
              <w:right w:val="single" w:sz="4" w:space="0" w:color="C5D5CF"/>
            </w:tcBorders>
          </w:tcPr>
          <w:p>
            <w:pPr>
              <w:spacing w:before="30" w:after="30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2C2C2C"/>
                <w:sz w:val="16"/>
              </w:rPr>
              <w:t>LLM API — live platform (heavy or peak use)</w:t>
            </w:r>
          </w:p>
        </w:tc>
        <w:tc>
          <w:tcPr>
            <w:tcW w:type="dxa" w:w="2721"/>
            <w:shd w:fill="FFFFFF"/>
            <w:tcBorders>
              <w:top w:val="single" w:sz="4" w:space="0" w:color="C5D5CF"/>
              <w:left w:val="single" w:sz="4" w:space="0" w:color="C5D5CF"/>
              <w:bottom w:val="single" w:sz="4" w:space="0" w:color="C5D5CF"/>
              <w:right w:val="single" w:sz="4" w:space="0" w:color="C5D5CF"/>
            </w:tcBorders>
          </w:tcPr>
          <w:p>
            <w:pPr>
              <w:spacing w:before="30" w:after="30"/>
              <w:jc w:val="center"/>
            </w:pPr>
            <w:r/>
            <w:r>
              <w:rPr>
                <w:rFonts w:ascii="Calibri" w:hAnsi="Calibri" w:eastAsia="Calibri"/>
                <w:b w:val="0"/>
                <w:i w:val="0"/>
                <w:color w:val="2C2C2C"/>
                <w:sz w:val="16"/>
              </w:rPr>
              <w:t>~300 – 500+</w:t>
            </w:r>
          </w:p>
        </w:tc>
        <w:tc>
          <w:tcPr>
            <w:tcW w:type="dxa" w:w="3402"/>
            <w:shd w:fill="FFFFFF"/>
            <w:tcBorders>
              <w:top w:val="single" w:sz="4" w:space="0" w:color="C5D5CF"/>
              <w:left w:val="single" w:sz="4" w:space="0" w:color="C5D5CF"/>
              <w:bottom w:val="single" w:sz="4" w:space="0" w:color="C5D5CF"/>
              <w:right w:val="single" w:sz="4" w:space="0" w:color="C5D5CF"/>
            </w:tcBorders>
          </w:tcPr>
          <w:p>
            <w:pPr>
              <w:spacing w:before="30" w:after="30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2C2C2C"/>
                <w:sz w:val="16"/>
              </w:rPr>
              <w:t>~300 – 600 JOD / month</w:t>
            </w:r>
          </w:p>
        </w:tc>
      </w:tr>
    </w:tbl>
    <w:p>
      <w:pPr>
        <w:spacing w:before="140" w:after="60"/>
        <w:pBdr>
          <w:bottom w:val="single" w:sz="8" w:space="2" w:color="1F6B5C"/>
        </w:pBdr>
      </w:pPr>
      <w:r>
        <w:rPr>
          <w:rFonts w:ascii="Calibri" w:hAnsi="Calibri" w:eastAsia="Calibri"/>
          <w:b/>
          <w:i w:val="0"/>
          <w:color w:val="0F3A47"/>
          <w:sz w:val="21"/>
        </w:rPr>
        <w:t>6. Commercial notes</w:t>
      </w:r>
    </w:p>
    <w:p>
      <w:pPr>
        <w:spacing w:before="0" w:after="40"/>
      </w:pPr>
      <w:r>
        <w:rPr>
          <w:rFonts w:ascii="Calibri" w:hAnsi="Calibri" w:eastAsia="Calibri"/>
          <w:b w:val="0"/>
          <w:i w:val="0"/>
          <w:color w:val="2C2C2C"/>
          <w:sz w:val="16"/>
        </w:rPr>
        <w:t>Two rounds of revisions per item (training course or module) are included. Further changes are billed at 20 JOD / hour.</w:t>
      </w:r>
    </w:p>
    <w:p>
      <w:pPr>
        <w:spacing w:before="0" w:after="40"/>
      </w:pPr>
      <w:r>
        <w:rPr>
          <w:rFonts w:ascii="Calibri" w:hAnsi="Calibri" w:eastAsia="Calibri"/>
          <w:b w:val="0"/>
          <w:i w:val="0"/>
          <w:color w:val="2C2C2C"/>
          <w:sz w:val="16"/>
        </w:rPr>
        <w:t>This project price applies to the full ten-item delivery commissioned together.</w:t>
      </w:r>
    </w:p>
    <w:p>
      <w:pPr>
        <w:spacing w:before="80"/>
        <w:jc w:val="center"/>
      </w:pPr>
      <w:r>
        <w:rPr>
          <w:rFonts w:ascii="Calibri" w:hAnsi="Calibri" w:eastAsia="Calibri"/>
          <w:b w:val="0"/>
          <w:i/>
          <w:color w:val="5A5A5A"/>
          <w:sz w:val="15"/>
        </w:rPr>
        <w:t>Investment World for Development and Technology  ·  Platform 2 Payment Terms</w:t>
      </w:r>
    </w:p>
    <w:sectPr w:rsidR="00FC693F" w:rsidRPr="0006063C" w:rsidSect="00034616">
      <w:pgSz w:w="11906" w:h="16838"/>
      <w:pgMar w:top="680" w:right="794" w:bottom="567" w:left="79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