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docProps/core.xml" ContentType="application/vnd.openxmlformats-package.core-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xmlns:r="http://schemas.openxmlformats.org/officeDocument/2006/relationships">
  <w:body>
    <w:p>
      <w:pPr>
        <w:pStyle w:val="Title"/>
        <w:spacing/>
      </w:pPr>
      <w:r>
        <w:rPr>
          <w:rFonts w:ascii="Aptos" w:hAnsi="Aptos"/>
          <w:sz w:val="20"/>
        </w:rPr>
        <w:t>BUDGET BURNDOWN PLANNER</w:t>
      </w:r>
    </w:p>
    <w:p>
      <w:pPr>
        <w:pStyle w:val="Subtitle"/>
        <w:spacing/>
      </w:pPr>
      <w:r>
        <w:rPr>
          <w:rFonts w:ascii="Aptos" w:hAnsi="Aptos"/>
          <w:sz w:val="20"/>
        </w:rPr>
        <w:t>Project overview, data model, build prompts, iterations, and workflow learnings</w:t>
      </w:r>
    </w:p>
    <w:p>
      <w:pPr>
        <w:spacing w:after="260"/>
      </w:pPr>
      <w:r>
        <w:rPr>
          <w:rFonts w:ascii="Aptos" w:hAnsi="Aptos"/>
          <w:color w:val="71817C"/>
          <w:sz w:val="18"/>
        </w:rPr>
        <w:t>Project workflow note  |  Prepared from the implementation and conversation history</w:t>
      </w:r>
    </w:p>
    <w:p>
      <w:pPr>
        <w:pStyle w:val="Heading1"/>
        <w:keepNext/>
        <w:spacing w:before="260" w:after="100"/>
      </w:pPr>
      <w:r>
        <w:rPr>
          <w:rFonts w:ascii="Aptos" w:hAnsi="Aptos"/>
          <w:sz w:val="20"/>
        </w:rPr>
        <w:t>Project overview</w:t>
      </w:r>
    </w:p>
    <w:p>
      <w:pPr>
        <w:spacing/>
      </w:pPr>
      <w:r>
        <w:rPr>
          <w:rFonts w:ascii="Aptos" w:hAnsi="Aptos"/>
          <w:sz w:val="20"/>
        </w:rPr>
        <w:t>The Budget Burndown Planner is a web app for a data engineering manager to compare annual workforce cost estimates with project funding. It provides an at-a-glance view of current estimated spend, projected year-end payroll, and the resulting funding surplus or deficit.</w:t>
      </w:r>
    </w:p>
    <w:p>
      <w:pPr>
        <w:spacing/>
      </w:pPr>
      <w:r>
        <w:rPr>
          <w:rFonts w:ascii="Aptos" w:hAnsi="Aptos"/>
          <w:sz w:val="20"/>
        </w:rPr>
        <w:t>The app has three main views: an annual dashboard, an employee roster, and a budget-entry manager. Employee and budget records can be added, edited, searched, and removed. The selected plan year drives the projection and budget total.</w:t>
      </w:r>
    </w:p>
    <w:p>
      <w:pPr>
        <w:pStyle w:val="Heading1"/>
        <w:keepNext/>
        <w:spacing w:before="260" w:after="100"/>
      </w:pPr>
      <w:r>
        <w:rPr>
          <w:rFonts w:ascii="Aptos" w:hAnsi="Aptos"/>
          <w:sz w:val="20"/>
        </w:rPr>
        <w:t>What was built</w:t>
      </w:r>
    </w:p>
    <w:tbl>
      <w:tblPr>
        <w:tblBorders>
          <w:top w:val="single" w:sz="4" w:color="D9E1DE"/>
          <w:left w:val="single" w:sz="4" w:color="D9E1DE"/>
          <w:bottom w:val="single" w:sz="4" w:color="D9E1DE"/>
          <w:right w:val="single" w:sz="4" w:color="D9E1DE"/>
          <w:insideH w:val="single" w:sz="4" w:color="D9E1DE"/>
          <w:insideV w:val="single" w:sz="4" w:color="D9E1DE"/>
        </w:tblBorders>
        <w:tblLayout w:type="fixed"/>
      </w:tblPr>
      <w:tblGrid>
        <w:gridCol w:w="2500"/>
        <w:gridCol w:w="6860"/>
      </w:tblGrid>
      <w:tr>
        <w:trPr>
          <w:tblHeader/>
        </w:trPr>
        <w:tc>
          <w:tcPr>
            <w:tcW w:w="2500" w:type="dxa"/>
            <w:shd w:fill="214D4A" w:val="clear"/>
            <w:vAlign w:val="center"/>
          </w:tcPr>
          <w:p>
            <w:pPr>
              <w:spacing w:before="55" w:after="55"/>
            </w:pPr>
            <w:r>
              <w:rPr>
                <w:rFonts w:ascii="Aptos" w:hAnsi="Aptos"/>
                <w:b/>
                <w:color w:val="FFFFFF"/>
                <w:sz w:val="18"/>
              </w:rPr>
              <w:t>Area</w:t>
            </w:r>
          </w:p>
        </w:tc>
        <w:tc>
          <w:tcPr>
            <w:tcW w:w="6860" w:type="dxa"/>
            <w:shd w:fill="214D4A" w:val="clear"/>
            <w:vAlign w:val="center"/>
          </w:tcPr>
          <w:p>
            <w:pPr>
              <w:spacing w:before="55" w:after="55"/>
            </w:pPr>
            <w:r>
              <w:rPr>
                <w:rFonts w:ascii="Aptos" w:hAnsi="Aptos"/>
                <w:b/>
                <w:color w:val="FFFFFF"/>
                <w:sz w:val="18"/>
              </w:rPr>
              <w:t>Implemented capability</w:t>
            </w:r>
          </w:p>
        </w:tc>
      </w:tr>
      <w:tr>
        <w:tc>
          <w:tcPr>
            <w:tcW w:w="2500" w:type="dxa"/>
            <w:shd w:fill="F1F6F3" w:val="clear"/>
            <w:vAlign w:val="center"/>
          </w:tcPr>
          <w:p>
            <w:pPr>
              <w:spacing w:before="55" w:after="55"/>
            </w:pPr>
            <w:r>
              <w:rPr>
                <w:rFonts w:ascii="Aptos" w:hAnsi="Aptos"/>
                <w:color w:val="283B40"/>
                <w:sz w:val="18"/>
              </w:rPr>
              <w:t>Annual dashboard</w:t>
            </w:r>
          </w:p>
        </w:tc>
        <w:tc>
          <w:tcPr>
            <w:tcW w:w="6860" w:type="dxa"/>
            <w:shd w:fill="F1F6F3" w:val="clear"/>
            <w:vAlign w:val="center"/>
          </w:tcPr>
          <w:p>
            <w:pPr>
              <w:spacing w:before="55" w:after="55"/>
            </w:pPr>
            <w:r>
              <w:rPr>
                <w:rFonts w:ascii="Aptos" w:hAnsi="Aptos"/>
                <w:color w:val="283B40"/>
                <w:sz w:val="18"/>
              </w:rPr>
              <w:t>Annual budget, accrued payroll estimate, projected payroll, projected balance, current burn percentage, and monthly funding/spend chart.</w:t>
            </w:r>
          </w:p>
        </w:tc>
      </w:tr>
      <w:tr>
        <w:tc>
          <w:tcPr>
            <w:tcW w:w="2500" w:type="dxa"/>
            <w:shd w:fill="FFFFFF" w:val="clear"/>
            <w:vAlign w:val="center"/>
          </w:tcPr>
          <w:p>
            <w:pPr>
              <w:spacing w:before="55" w:after="55"/>
            </w:pPr>
            <w:r>
              <w:rPr>
                <w:rFonts w:ascii="Aptos" w:hAnsi="Aptos"/>
                <w:color w:val="283B40"/>
                <w:sz w:val="18"/>
              </w:rPr>
              <w:t>Employee roster</w:t>
            </w:r>
          </w:p>
        </w:tc>
        <w:tc>
          <w:tcPr>
            <w:tcW w:w="6860" w:type="dxa"/>
            <w:shd w:fill="FFFFFF" w:val="clear"/>
            <w:vAlign w:val="center"/>
          </w:tcPr>
          <w:p>
            <w:pPr>
              <w:spacing w:before="55" w:after="55"/>
            </w:pPr>
            <w:r>
              <w:rPr>
                <w:rFonts w:ascii="Aptos" w:hAnsi="Aptos"/>
                <w:color w:val="283B40"/>
                <w:sz w:val="18"/>
              </w:rPr>
              <w:t>Create, edit, search, and remove FTE/CNE employees, with hourly rates and employment dates. Blank end dates default to 9999-12-31.</w:t>
            </w:r>
          </w:p>
        </w:tc>
      </w:tr>
      <w:tr>
        <w:tc>
          <w:tcPr>
            <w:tcW w:w="2500" w:type="dxa"/>
            <w:shd w:fill="F1F6F3" w:val="clear"/>
            <w:vAlign w:val="center"/>
          </w:tcPr>
          <w:p>
            <w:pPr>
              <w:spacing w:before="55" w:after="55"/>
            </w:pPr>
            <w:r>
              <w:rPr>
                <w:rFonts w:ascii="Aptos" w:hAnsi="Aptos"/>
                <w:color w:val="283B40"/>
                <w:sz w:val="18"/>
              </w:rPr>
              <w:t>Budget entries</w:t>
            </w:r>
          </w:p>
        </w:tc>
        <w:tc>
          <w:tcPr>
            <w:tcW w:w="6860" w:type="dxa"/>
            <w:shd w:fill="F1F6F3" w:val="clear"/>
            <w:vAlign w:val="center"/>
          </w:tcPr>
          <w:p>
            <w:pPr>
              <w:spacing w:before="55" w:after="55"/>
            </w:pPr>
            <w:r>
              <w:rPr>
                <w:rFonts w:ascii="Aptos" w:hAnsi="Aptos"/>
                <w:color w:val="283B40"/>
                <w:sz w:val="18"/>
              </w:rPr>
              <w:t>Create, edit, filter, search, and remove annual project funding records with Project ID, Clarity ID, sponsor, amount, and plan year.</w:t>
            </w:r>
          </w:p>
        </w:tc>
      </w:tr>
      <w:tr>
        <w:tc>
          <w:tcPr>
            <w:tcW w:w="2500" w:type="dxa"/>
            <w:shd w:fill="FFFFFF" w:val="clear"/>
            <w:vAlign w:val="center"/>
          </w:tcPr>
          <w:p>
            <w:pPr>
              <w:spacing w:before="55" w:after="55"/>
            </w:pPr>
            <w:r>
              <w:rPr>
                <w:rFonts w:ascii="Aptos" w:hAnsi="Aptos"/>
                <w:color w:val="283B40"/>
                <w:sz w:val="18"/>
              </w:rPr>
              <w:t>Workbook storage</w:t>
            </w:r>
          </w:p>
        </w:tc>
        <w:tc>
          <w:tcPr>
            <w:tcW w:w="6860" w:type="dxa"/>
            <w:shd w:fill="FFFFFF" w:val="clear"/>
            <w:vAlign w:val="center"/>
          </w:tcPr>
          <w:p>
            <w:pPr>
              <w:spacing w:before="55" w:after="55"/>
            </w:pPr>
            <w:r>
              <w:rPr>
                <w:rFonts w:ascii="Aptos" w:hAnsi="Aptos"/>
                <w:color w:val="283B40"/>
                <w:sz w:val="18"/>
              </w:rPr>
              <w:t>Excel workbook with Employees and Budgets sheets, kept in private Replit App Storage as the data source.</w:t>
            </w:r>
          </w:p>
        </w:tc>
      </w:tr>
    </w:tbl>
    <w:p>
      <w:pPr>
        <w:spacing w:before="180"/>
      </w:pPr>
      <w:r>
        <w:rPr>
          <w:rFonts w:ascii="Aptos" w:hAnsi="Aptos"/>
          <w:b/>
          <w:color w:val="214D4A"/>
          <w:sz w:val="19"/>
        </w:rPr>
        <w:t>The dashboard shows a positive projected balance when annual funding exceeds projected payroll and a negative balance when projected payroll exceeds funding.</w:t>
      </w:r>
    </w:p>
    <w:p>
      <w:r>
        <w:br w:type="page"/>
      </w:r>
    </w:p>
    <w:p>
      <w:pPr>
        <w:pStyle w:val="Heading1"/>
        <w:keepNext/>
        <w:spacing w:before="260" w:after="100"/>
      </w:pPr>
      <w:r>
        <w:rPr>
          <w:rFonts w:ascii="Aptos" w:hAnsi="Aptos"/>
          <w:sz w:val="20"/>
        </w:rPr>
        <w:t>Datasets used</w:t>
      </w:r>
    </w:p>
    <w:p>
      <w:pPr>
        <w:spacing/>
      </w:pPr>
      <w:r>
        <w:rPr>
          <w:rFonts w:ascii="Aptos" w:hAnsi="Aptos"/>
          <w:sz w:val="20"/>
        </w:rPr>
        <w:t>No external datasets, HR systems, payroll systems, or finance APIs were connected. The app uses an Excel workbook stored in private App Storage. The initial workbook contains fictional starter records for demonstration only: three employee rows and two 2026 budget entries totaling $700,000. No real team or compensation data was imported.</w:t>
      </w:r>
    </w:p>
    <w:p>
      <w:pPr>
        <w:pStyle w:val="Heading2"/>
        <w:keepNext/>
        <w:spacing w:before="180" w:after="100"/>
      </w:pPr>
      <w:r>
        <w:rPr>
          <w:rFonts w:ascii="Aptos" w:hAnsi="Aptos"/>
          <w:sz w:val="20"/>
        </w:rPr>
        <w:t>Workbook schema</w:t>
      </w:r>
    </w:p>
    <w:tbl>
      <w:tblPr>
        <w:tblBorders>
          <w:top w:val="single" w:sz="4" w:color="D9E1DE"/>
          <w:left w:val="single" w:sz="4" w:color="D9E1DE"/>
          <w:bottom w:val="single" w:sz="4" w:color="D9E1DE"/>
          <w:right w:val="single" w:sz="4" w:color="D9E1DE"/>
          <w:insideH w:val="single" w:sz="4" w:color="D9E1DE"/>
          <w:insideV w:val="single" w:sz="4" w:color="D9E1DE"/>
        </w:tblBorders>
        <w:tblLayout w:type="fixed"/>
      </w:tblPr>
      <w:tblGrid>
        <w:gridCol w:w="1500"/>
        <w:gridCol w:w="4500"/>
        <w:gridCol w:w="3360"/>
      </w:tblGrid>
      <w:tr>
        <w:trPr>
          <w:tblHeader/>
        </w:trPr>
        <w:tc>
          <w:tcPr>
            <w:tcW w:w="1500" w:type="dxa"/>
            <w:shd w:fill="214D4A" w:val="clear"/>
            <w:vAlign w:val="center"/>
          </w:tcPr>
          <w:p>
            <w:pPr>
              <w:spacing w:before="55" w:after="55"/>
            </w:pPr>
            <w:r>
              <w:rPr>
                <w:rFonts w:ascii="Aptos" w:hAnsi="Aptos"/>
                <w:b/>
                <w:color w:val="FFFFFF"/>
                <w:sz w:val="18"/>
              </w:rPr>
              <w:t>Sheet</w:t>
            </w:r>
          </w:p>
        </w:tc>
        <w:tc>
          <w:tcPr>
            <w:tcW w:w="4500" w:type="dxa"/>
            <w:shd w:fill="214D4A" w:val="clear"/>
            <w:vAlign w:val="center"/>
          </w:tcPr>
          <w:p>
            <w:pPr>
              <w:spacing w:before="55" w:after="55"/>
            </w:pPr>
            <w:r>
              <w:rPr>
                <w:rFonts w:ascii="Aptos" w:hAnsi="Aptos"/>
                <w:b/>
                <w:color w:val="FFFFFF"/>
                <w:sz w:val="18"/>
              </w:rPr>
              <w:t>Fields</w:t>
            </w:r>
          </w:p>
        </w:tc>
        <w:tc>
          <w:tcPr>
            <w:tcW w:w="3360" w:type="dxa"/>
            <w:shd w:fill="214D4A" w:val="clear"/>
            <w:vAlign w:val="center"/>
          </w:tcPr>
          <w:p>
            <w:pPr>
              <w:spacing w:before="55" w:after="55"/>
            </w:pPr>
            <w:r>
              <w:rPr>
                <w:rFonts w:ascii="Aptos" w:hAnsi="Aptos"/>
                <w:b/>
                <w:color w:val="FFFFFF"/>
                <w:sz w:val="18"/>
              </w:rPr>
              <w:t>Purpose</w:t>
            </w:r>
          </w:p>
        </w:tc>
      </w:tr>
      <w:tr>
        <w:tc>
          <w:tcPr>
            <w:tcW w:w="1500" w:type="dxa"/>
            <w:shd w:fill="F1F6F3" w:val="clear"/>
            <w:vAlign w:val="center"/>
          </w:tcPr>
          <w:p>
            <w:pPr>
              <w:spacing w:before="55" w:after="55"/>
            </w:pPr>
            <w:r>
              <w:rPr>
                <w:rFonts w:ascii="Aptos" w:hAnsi="Aptos"/>
                <w:color w:val="283B40"/>
                <w:sz w:val="18"/>
              </w:rPr>
              <w:t>Employees</w:t>
            </w:r>
          </w:p>
        </w:tc>
        <w:tc>
          <w:tcPr>
            <w:tcW w:w="4500" w:type="dxa"/>
            <w:shd w:fill="F1F6F3" w:val="clear"/>
            <w:vAlign w:val="center"/>
          </w:tcPr>
          <w:p>
            <w:pPr>
              <w:spacing w:before="55" w:after="55"/>
            </w:pPr>
            <w:r>
              <w:rPr>
                <w:rFonts w:ascii="Aptos" w:hAnsi="Aptos"/>
                <w:color w:val="283B40"/>
                <w:sz w:val="18"/>
              </w:rPr>
              <w:t>employeeId; employeeName; employeeType (FTE/CNE); hourlyRate; employmentBeginDate; employmentEndDate</w:t>
            </w:r>
          </w:p>
        </w:tc>
        <w:tc>
          <w:tcPr>
            <w:tcW w:w="3360" w:type="dxa"/>
            <w:shd w:fill="F1F6F3" w:val="clear"/>
            <w:vAlign w:val="center"/>
          </w:tcPr>
          <w:p>
            <w:pPr>
              <w:spacing w:before="55" w:after="55"/>
            </w:pPr>
            <w:r>
              <w:rPr>
                <w:rFonts w:ascii="Aptos" w:hAnsi="Aptos"/>
                <w:color w:val="283B40"/>
                <w:sz w:val="18"/>
              </w:rPr>
              <w:t>Roster inputs used to estimate each employee’s cost during the selected plan year.</w:t>
            </w:r>
          </w:p>
        </w:tc>
      </w:tr>
      <w:tr>
        <w:tc>
          <w:tcPr>
            <w:tcW w:w="1500" w:type="dxa"/>
            <w:shd w:fill="FFFFFF" w:val="clear"/>
            <w:vAlign w:val="center"/>
          </w:tcPr>
          <w:p>
            <w:pPr>
              <w:spacing w:before="55" w:after="55"/>
            </w:pPr>
            <w:r>
              <w:rPr>
                <w:rFonts w:ascii="Aptos" w:hAnsi="Aptos"/>
                <w:color w:val="283B40"/>
                <w:sz w:val="18"/>
              </w:rPr>
              <w:t>Budgets</w:t>
            </w:r>
          </w:p>
        </w:tc>
        <w:tc>
          <w:tcPr>
            <w:tcW w:w="4500" w:type="dxa"/>
            <w:shd w:fill="FFFFFF" w:val="clear"/>
            <w:vAlign w:val="center"/>
          </w:tcPr>
          <w:p>
            <w:pPr>
              <w:spacing w:before="55" w:after="55"/>
            </w:pPr>
            <w:r>
              <w:rPr>
                <w:rFonts w:ascii="Aptos" w:hAnsi="Aptos"/>
                <w:color w:val="283B40"/>
                <w:sz w:val="18"/>
              </w:rPr>
              <w:t>budgetId; projectId; clarityId; sponsorName; amount; year</w:t>
            </w:r>
          </w:p>
        </w:tc>
        <w:tc>
          <w:tcPr>
            <w:tcW w:w="3360" w:type="dxa"/>
            <w:shd w:fill="FFFFFF" w:val="clear"/>
            <w:vAlign w:val="center"/>
          </w:tcPr>
          <w:p>
            <w:pPr>
              <w:spacing w:before="55" w:after="55"/>
            </w:pPr>
            <w:r>
              <w:rPr>
                <w:rFonts w:ascii="Aptos" w:hAnsi="Aptos"/>
                <w:color w:val="283B40"/>
                <w:sz w:val="18"/>
              </w:rPr>
              <w:t>Annual project-level funding entries summed for the selected year.</w:t>
            </w:r>
          </w:p>
        </w:tc>
      </w:tr>
    </w:tbl>
    <w:p>
      <w:pPr>
        <w:pStyle w:val="Heading2"/>
        <w:keepNext/>
        <w:spacing w:before="180" w:after="100"/>
      </w:pPr>
      <w:r>
        <w:rPr>
          <w:rFonts w:ascii="Aptos" w:hAnsi="Aptos"/>
          <w:sz w:val="20"/>
        </w:rPr>
        <w:t>Projection logic</w:t>
      </w:r>
    </w:p>
    <w:tbl>
      <w:tblPr>
        <w:tblBorders>
          <w:top w:val="single" w:sz="4" w:color="D9E1DE"/>
          <w:left w:val="single" w:sz="4" w:color="D9E1DE"/>
          <w:bottom w:val="single" w:sz="4" w:color="D9E1DE"/>
          <w:right w:val="single" w:sz="4" w:color="D9E1DE"/>
          <w:insideH w:val="single" w:sz="4" w:color="D9E1DE"/>
          <w:insideV w:val="single" w:sz="4" w:color="D9E1DE"/>
        </w:tblBorders>
        <w:tblLayout w:type="fixed"/>
      </w:tblPr>
      <w:tblGrid>
        <w:gridCol w:w="2350"/>
        <w:gridCol w:w="7010"/>
      </w:tblGrid>
      <w:tr>
        <w:trPr>
          <w:tblHeader/>
        </w:trPr>
        <w:tc>
          <w:tcPr>
            <w:tcW w:w="2350" w:type="dxa"/>
            <w:shd w:fill="214D4A" w:val="clear"/>
            <w:vAlign w:val="center"/>
          </w:tcPr>
          <w:p>
            <w:pPr>
              <w:spacing w:before="55" w:after="55"/>
            </w:pPr>
            <w:r>
              <w:rPr>
                <w:rFonts w:ascii="Aptos" w:hAnsi="Aptos"/>
                <w:b/>
                <w:color w:val="FFFFFF"/>
                <w:sz w:val="18"/>
              </w:rPr>
              <w:t>Measure</w:t>
            </w:r>
          </w:p>
        </w:tc>
        <w:tc>
          <w:tcPr>
            <w:tcW w:w="7010" w:type="dxa"/>
            <w:shd w:fill="214D4A" w:val="clear"/>
            <w:vAlign w:val="center"/>
          </w:tcPr>
          <w:p>
            <w:pPr>
              <w:spacing w:before="55" w:after="55"/>
            </w:pPr>
            <w:r>
              <w:rPr>
                <w:rFonts w:ascii="Aptos" w:hAnsi="Aptos"/>
                <w:b/>
                <w:color w:val="FFFFFF"/>
                <w:sz w:val="18"/>
              </w:rPr>
              <w:t>Calculation / interpretation</w:t>
            </w:r>
          </w:p>
        </w:tc>
      </w:tr>
      <w:tr>
        <w:tc>
          <w:tcPr>
            <w:tcW w:w="2350" w:type="dxa"/>
            <w:shd w:fill="F1F6F3" w:val="clear"/>
            <w:vAlign w:val="center"/>
          </w:tcPr>
          <w:p>
            <w:pPr>
              <w:spacing w:before="55" w:after="55"/>
            </w:pPr>
            <w:r>
              <w:rPr>
                <w:rFonts w:ascii="Aptos" w:hAnsi="Aptos"/>
                <w:color w:val="283B40"/>
                <w:sz w:val="18"/>
              </w:rPr>
              <w:t>Annual projected payroll</w:t>
            </w:r>
          </w:p>
        </w:tc>
        <w:tc>
          <w:tcPr>
            <w:tcW w:w="7010" w:type="dxa"/>
            <w:shd w:fill="F1F6F3" w:val="clear"/>
            <w:vAlign w:val="center"/>
          </w:tcPr>
          <w:p>
            <w:pPr>
              <w:spacing w:before="55" w:after="55"/>
            </w:pPr>
            <w:r>
              <w:rPr>
                <w:rFonts w:ascii="Aptos" w:hAnsi="Aptos"/>
                <w:color w:val="283B40"/>
                <w:sz w:val="18"/>
              </w:rPr>
              <w:t>Hourly rate × 2,080 hours per year, prorated by the employee’s active calendar days in the selected year.</w:t>
            </w:r>
          </w:p>
        </w:tc>
      </w:tr>
      <w:tr>
        <w:tc>
          <w:tcPr>
            <w:tcW w:w="2350" w:type="dxa"/>
            <w:shd w:fill="FFFFFF" w:val="clear"/>
            <w:vAlign w:val="center"/>
          </w:tcPr>
          <w:p>
            <w:pPr>
              <w:spacing w:before="55" w:after="55"/>
            </w:pPr>
            <w:r>
              <w:rPr>
                <w:rFonts w:ascii="Aptos" w:hAnsi="Aptos"/>
                <w:color w:val="283B40"/>
                <w:sz w:val="18"/>
              </w:rPr>
              <w:t>Accrued payroll estimate</w:t>
            </w:r>
          </w:p>
        </w:tc>
        <w:tc>
          <w:tcPr>
            <w:tcW w:w="7010" w:type="dxa"/>
            <w:shd w:fill="FFFFFF" w:val="clear"/>
            <w:vAlign w:val="center"/>
          </w:tcPr>
          <w:p>
            <w:pPr>
              <w:spacing w:before="55" w:after="55"/>
            </w:pPr>
            <w:r>
              <w:rPr>
                <w:rFonts w:ascii="Aptos" w:hAnsi="Aptos"/>
                <w:color w:val="283B40"/>
                <w:sz w:val="18"/>
              </w:rPr>
              <w:t>The same daily cost estimate accumulated through the current date; it is modeled spend, not a payroll ledger.</w:t>
            </w:r>
          </w:p>
        </w:tc>
      </w:tr>
      <w:tr>
        <w:tc>
          <w:tcPr>
            <w:tcW w:w="2350" w:type="dxa"/>
            <w:shd w:fill="F1F6F3" w:val="clear"/>
            <w:vAlign w:val="center"/>
          </w:tcPr>
          <w:p>
            <w:pPr>
              <w:spacing w:before="55" w:after="55"/>
            </w:pPr>
            <w:r>
              <w:rPr>
                <w:rFonts w:ascii="Aptos" w:hAnsi="Aptos"/>
                <w:color w:val="283B40"/>
                <w:sz w:val="18"/>
              </w:rPr>
              <w:t>Annual funding</w:t>
            </w:r>
          </w:p>
        </w:tc>
        <w:tc>
          <w:tcPr>
            <w:tcW w:w="7010" w:type="dxa"/>
            <w:shd w:fill="F1F6F3" w:val="clear"/>
            <w:vAlign w:val="center"/>
          </w:tcPr>
          <w:p>
            <w:pPr>
              <w:spacing w:before="55" w:after="55"/>
            </w:pPr>
            <w:r>
              <w:rPr>
                <w:rFonts w:ascii="Aptos" w:hAnsi="Aptos"/>
                <w:color w:val="283B40"/>
                <w:sz w:val="18"/>
              </w:rPr>
              <w:t>Sum of the amounts on budget entries whose plan year matches the selected year.</w:t>
            </w:r>
          </w:p>
        </w:tc>
      </w:tr>
      <w:tr>
        <w:tc>
          <w:tcPr>
            <w:tcW w:w="2350" w:type="dxa"/>
            <w:shd w:fill="FFFFFF" w:val="clear"/>
            <w:vAlign w:val="center"/>
          </w:tcPr>
          <w:p>
            <w:pPr>
              <w:spacing w:before="55" w:after="55"/>
            </w:pPr>
            <w:r>
              <w:rPr>
                <w:rFonts w:ascii="Aptos" w:hAnsi="Aptos"/>
                <w:color w:val="283B40"/>
                <w:sz w:val="18"/>
              </w:rPr>
              <w:t>Projected balance</w:t>
            </w:r>
          </w:p>
        </w:tc>
        <w:tc>
          <w:tcPr>
            <w:tcW w:w="7010" w:type="dxa"/>
            <w:shd w:fill="FFFFFF" w:val="clear"/>
            <w:vAlign w:val="center"/>
          </w:tcPr>
          <w:p>
            <w:pPr>
              <w:spacing w:before="55" w:after="55"/>
            </w:pPr>
            <w:r>
              <w:rPr>
                <w:rFonts w:ascii="Aptos" w:hAnsi="Aptos"/>
                <w:color w:val="283B40"/>
                <w:sz w:val="18"/>
              </w:rPr>
              <w:t>Annual funding − projected payroll. Positive means projected surplus; negative means projected deficit.</w:t>
            </w:r>
          </w:p>
        </w:tc>
      </w:tr>
      <w:tr>
        <w:tc>
          <w:tcPr>
            <w:tcW w:w="2350" w:type="dxa"/>
            <w:shd w:fill="F1F6F3" w:val="clear"/>
            <w:vAlign w:val="center"/>
          </w:tcPr>
          <w:p>
            <w:pPr>
              <w:spacing w:before="55" w:after="55"/>
            </w:pPr>
            <w:r>
              <w:rPr>
                <w:rFonts w:ascii="Aptos" w:hAnsi="Aptos"/>
                <w:color w:val="283B40"/>
                <w:sz w:val="18"/>
              </w:rPr>
              <w:t>Current burn rate</w:t>
            </w:r>
          </w:p>
        </w:tc>
        <w:tc>
          <w:tcPr>
            <w:tcW w:w="7010" w:type="dxa"/>
            <w:shd w:fill="F1F6F3" w:val="clear"/>
            <w:vAlign w:val="center"/>
          </w:tcPr>
          <w:p>
            <w:pPr>
              <w:spacing w:before="55" w:after="55"/>
            </w:pPr>
            <w:r>
              <w:rPr>
                <w:rFonts w:ascii="Aptos" w:hAnsi="Aptos"/>
                <w:color w:val="283B40"/>
                <w:sz w:val="18"/>
              </w:rPr>
              <w:t>Accrued payroll estimate ÷ annual funding, shown as a percentage when funding exists.</w:t>
            </w:r>
          </w:p>
        </w:tc>
      </w:tr>
    </w:tbl>
    <w:p>
      <w:pPr>
        <w:spacing w:before="160"/>
      </w:pPr>
      <w:r>
        <w:rPr>
          <w:rFonts w:ascii="Aptos" w:hAnsi="Aptos"/>
          <w:i/>
          <w:color w:val="805E2E"/>
          <w:sz w:val="18"/>
        </w:rPr>
        <w:t>Model boundary: the prompt supplied hourly rates and employee type but no separate weekly-hours, overtime, holiday, or employer-cost assumptions. FTE and CNE therefore share the 2,080-hour annualization. Calendar-day proration is not a business-day payroll forecast.</w:t>
      </w:r>
    </w:p>
    <w:p>
      <w:r>
        <w:br w:type="page"/>
      </w:r>
    </w:p>
    <w:p>
      <w:pPr>
        <w:pStyle w:val="Heading1"/>
        <w:keepNext/>
        <w:spacing w:before="260" w:after="100"/>
      </w:pPr>
      <w:r>
        <w:rPr>
          <w:rFonts w:ascii="Aptos" w:hAnsi="Aptos"/>
          <w:sz w:val="20"/>
        </w:rPr>
        <w:t>Prompts and iterative direction</w:t>
      </w:r>
    </w:p>
    <w:p>
      <w:pPr>
        <w:spacing/>
      </w:pPr>
      <w:r>
        <w:rPr>
          <w:rFonts w:ascii="Aptos" w:hAnsi="Aptos"/>
          <w:sz w:val="20"/>
        </w:rPr>
        <w:t>The prompt history below reflects user-authored requests visible in the conversation. It does not reconstruct hidden system or implementation instructions.</w:t>
      </w:r>
    </w:p>
    <w:p>
      <w:pPr>
        <w:pStyle w:val="Heading2"/>
        <w:keepNext/>
        <w:spacing w:before="180" w:after="100"/>
      </w:pPr>
      <w:r>
        <w:rPr>
          <w:rFonts w:ascii="Aptos" w:hAnsi="Aptos"/>
          <w:sz w:val="20"/>
        </w:rPr>
        <w:t>Initial build prompt (faithful summary)</w:t>
      </w:r>
    </w:p>
    <w:p>
      <w:pPr>
        <w:spacing/>
      </w:pPr>
      <w:r>
        <w:rPr>
          <w:rFonts w:ascii="Aptos" w:hAnsi="Aptos"/>
          <w:sz w:val="20"/>
        </w:rPr>
        <w:t>Build an app for a data engineering manager that compares employee salary projections with the total annual budget; maintain employee ID, name, FTE/CNE type, hourly rate, begin/end dates (default end date 9999-12-31); calculate yearly projections; allow employee and budget add/edit/delete; show whether projected spending creates a deficit or surplus; and use Excel as the backend.</w:t>
      </w:r>
    </w:p>
    <w:p>
      <w:pPr>
        <w:pStyle w:val="Heading2"/>
        <w:keepNext/>
        <w:spacing w:before="180" w:after="100"/>
      </w:pPr>
      <w:r>
        <w:rPr>
          <w:rFonts w:ascii="Aptos" w:hAnsi="Aptos"/>
          <w:sz w:val="20"/>
        </w:rPr>
        <w:t>Follow-up prompts</w:t>
      </w:r>
    </w:p>
    <w:p>
      <w:pPr>
        <w:ind w:left="360" w:hanging="200"/>
        <w:spacing/>
      </w:pPr>
      <w:r>
        <w:rPr>
          <w:rFonts w:ascii="Aptos" w:hAnsi="Aptos"/>
          <w:b/>
          <w:color w:val="3E806B"/>
          <w:sz w:val="20"/>
        </w:rPr>
        <w:t xml:space="preserve">•  </w:t>
      </w:r>
      <w:r>
        <w:rPr>
          <w:rFonts w:ascii="Aptos" w:hAnsi="Aptos"/>
          <w:sz w:val="20"/>
        </w:rPr>
        <w:t>“Create a slide deck about this project. Ask the user to confirm before proceeding (using the query tool).” A slide deck was not created; the request shifted to project documentation.</w:t>
      </w:r>
    </w:p>
    <w:p>
      <w:pPr>
        <w:ind w:left="360" w:hanging="200"/>
        <w:spacing/>
      </w:pPr>
      <w:r>
        <w:rPr>
          <w:rFonts w:ascii="Aptos" w:hAnsi="Aptos"/>
          <w:b/>
          <w:color w:val="3E806B"/>
          <w:sz w:val="20"/>
        </w:rPr>
        <w:t xml:space="preserve">•  </w:t>
      </w:r>
      <w:r>
        <w:rPr>
          <w:rFonts w:ascii="Aptos" w:hAnsi="Aptos"/>
          <w:sz w:val="20"/>
        </w:rPr>
        <w:t>“Create a Google Doc explaining what you built. Include: project overview, datasets used, prompts you used during vibe coding, iterations you tried, and any learnings or observations from the workflow.” The Google Docs connection was dismissed, so this editable Word copy was created instead.</w:t>
      </w:r>
    </w:p>
    <w:p>
      <w:pPr>
        <w:pStyle w:val="Heading1"/>
        <w:keepNext/>
        <w:spacing w:before="260" w:after="100"/>
      </w:pPr>
      <w:r>
        <w:rPr>
          <w:rFonts w:ascii="Aptos" w:hAnsi="Aptos"/>
          <w:sz w:val="20"/>
        </w:rPr>
        <w:t>Iterations tried</w:t>
      </w:r>
    </w:p>
    <w:p>
      <w:pPr>
        <w:ind w:left="360" w:hanging="200"/>
        <w:spacing/>
      </w:pPr>
      <w:r>
        <w:rPr>
          <w:rFonts w:ascii="Aptos" w:hAnsi="Aptos"/>
          <w:b/>
          <w:color w:val="3E806B"/>
          <w:sz w:val="20"/>
        </w:rPr>
        <w:t xml:space="preserve">•  </w:t>
      </w:r>
      <w:r>
        <w:rPr>
          <w:rFonts w:ascii="Aptos" w:hAnsi="Aptos"/>
          <w:sz w:val="20"/>
        </w:rPr>
        <w:t>1. Built the app around three distinct workflows—annual dashboard, employee roster, and budget-entry management—with CRUD forms, search, filtering, and delete confirmation.</w:t>
      </w:r>
    </w:p>
    <w:p>
      <w:pPr>
        <w:ind w:left="360" w:hanging="200"/>
        <w:spacing/>
      </w:pPr>
      <w:r>
        <w:rPr>
          <w:rFonts w:ascii="Aptos" w:hAnsi="Aptos"/>
          <w:b/>
          <w:color w:val="3E806B"/>
          <w:sz w:val="20"/>
        </w:rPr>
        <w:t xml:space="preserve">•  </w:t>
      </w:r>
      <w:r>
        <w:rPr>
          <w:rFonts w:ascii="Aptos" w:hAnsi="Aptos"/>
          <w:sz w:val="20"/>
        </w:rPr>
        <w:t>2. Implemented the annualized payroll model and month-by-month chart. Clarified the distinction between accrued-to-date burn rate and full-year projected payroll so the utilization percentage describes current estimated spend, while projected balance communicates future surplus or deficit.</w:t>
      </w:r>
    </w:p>
    <w:p>
      <w:pPr>
        <w:ind w:left="360" w:hanging="200"/>
        <w:spacing/>
      </w:pPr>
      <w:r>
        <w:rPr>
          <w:rFonts w:ascii="Aptos" w:hAnsi="Aptos"/>
          <w:b/>
          <w:color w:val="3E806B"/>
          <w:sz w:val="20"/>
        </w:rPr>
        <w:t xml:space="preserve">•  </w:t>
      </w:r>
      <w:r>
        <w:rPr>
          <w:rFonts w:ascii="Aptos" w:hAnsi="Aptos"/>
          <w:sz w:val="20"/>
        </w:rPr>
        <w:t>3. Started with a local workbook, then moved the source workbook to private App Storage for durable storage. Existing local workbook data is migrated on first access when present; otherwise, starter rows are created.</w:t>
      </w:r>
    </w:p>
    <w:p>
      <w:pPr>
        <w:ind w:left="360" w:hanging="200"/>
        <w:spacing/>
      </w:pPr>
      <w:r>
        <w:rPr>
          <w:rFonts w:ascii="Aptos" w:hAnsi="Aptos"/>
          <w:b/>
          <w:color w:val="3E806B"/>
          <w:sz w:val="20"/>
        </w:rPr>
        <w:t xml:space="preserve">•  </w:t>
      </w:r>
      <w:r>
        <w:rPr>
          <w:rFonts w:ascii="Aptos" w:hAnsi="Aptos"/>
          <w:sz w:val="20"/>
        </w:rPr>
        <w:t>4. Corrected date handling after API date values were coerced to Date objects and serialized as timestamps. The API now returns date-only YYYY-MM-DD strings so roster dates render and edit consistently.</w:t>
      </w:r>
    </w:p>
    <w:p>
      <w:pPr>
        <w:ind w:left="360" w:hanging="200"/>
        <w:spacing/>
      </w:pPr>
      <w:r>
        <w:rPr>
          <w:rFonts w:ascii="Aptos" w:hAnsi="Aptos"/>
          <w:b/>
          <w:color w:val="3E806B"/>
          <w:sz w:val="20"/>
        </w:rPr>
        <w:t xml:space="preserve">•  </w:t>
      </w:r>
      <w:r>
        <w:rPr>
          <w:rFonts w:ascii="Aptos" w:hAnsi="Aptos"/>
          <w:sz w:val="20"/>
        </w:rPr>
        <w:t>5. Verified TypeScript typechecking, live API read endpoints, and the app preview. A full automated end-to-end CRUD test suite was not run during this build.</w:t>
      </w:r>
    </w:p>
    <w:p>
      <w:r>
        <w:br w:type="page"/>
      </w:r>
    </w:p>
    <w:p>
      <w:pPr>
        <w:pStyle w:val="Heading1"/>
        <w:keepNext/>
        <w:spacing w:before="260" w:after="100"/>
      </w:pPr>
      <w:r>
        <w:rPr>
          <w:rFonts w:ascii="Aptos" w:hAnsi="Aptos"/>
          <w:sz w:val="20"/>
        </w:rPr>
        <w:t>Learnings and observations</w:t>
      </w:r>
    </w:p>
    <w:p>
      <w:pPr>
        <w:spacing/>
      </w:pPr>
      <w:r>
        <w:rPr>
          <w:rFonts w:ascii="Aptos" w:hAnsi="Aptos"/>
          <w:sz w:val="20"/>
        </w:rPr>
        <w:t>• Separate the current burn metric from the year-end projection. Accrued spend divided by funding answers “how much has been consumed so far?”; projected payroll minus funding answers “where does the year end?”</w:t>
      </w:r>
    </w:p>
    <w:p>
      <w:pPr>
        <w:spacing/>
      </w:pPr>
      <w:r>
        <w:rPr>
          <w:rFonts w:ascii="Aptos" w:hAnsi="Aptos"/>
          <w:sz w:val="20"/>
        </w:rPr>
        <w:t>• Date-only values need an explicit API serialization boundary. A generated schema may coerce a date string to a Date, whose default JSON output is a timestamp; returning YYYY-MM-DD preserves date semantics for forms and spreadsheets.</w:t>
      </w:r>
    </w:p>
    <w:p>
      <w:pPr>
        <w:spacing/>
      </w:pPr>
      <w:r>
        <w:rPr>
          <w:rFonts w:ascii="Aptos" w:hAnsi="Aptos"/>
          <w:sz w:val="20"/>
        </w:rPr>
        <w:t>• An Excel file can remain the authoritative data source while App Storage provides persistence. Workbook reads and writes are serialized inside the API process to reduce same-process overwrites.</w:t>
      </w:r>
    </w:p>
    <w:p>
      <w:pPr>
        <w:spacing/>
      </w:pPr>
      <w:r>
        <w:rPr>
          <w:rFonts w:ascii="Aptos" w:hAnsi="Aptos"/>
          <w:sz w:val="20"/>
        </w:rPr>
        <w:t>• A useful projection still depends on business assumptions. The current model annualizes at 2,080 hours and prorates by calendar days; it does not account for time off, actual payroll, employer taxes/benefits, variable weekly hours, or different FTE/CNE schedules.</w:t>
      </w:r>
    </w:p>
    <w:p>
      <w:pPr>
        <w:spacing/>
      </w:pPr>
      <w:r>
        <w:rPr>
          <w:rFonts w:ascii="Aptos" w:hAnsi="Aptos"/>
          <w:sz w:val="20"/>
        </w:rPr>
        <w:t>• Privacy is a release requirement for workforce cost data. The workbook object is private, but the current app API has no sign-in/access control. Add authentication and authorization before entering real salary data or exposing the app publicly.</w:t>
      </w:r>
    </w:p>
    <w:p>
      <w:pPr>
        <w:pStyle w:val="Heading1"/>
        <w:keepNext/>
        <w:spacing w:before="260" w:after="100"/>
      </w:pPr>
      <w:r>
        <w:rPr>
          <w:rFonts w:ascii="Aptos" w:hAnsi="Aptos"/>
          <w:sz w:val="20"/>
        </w:rPr>
        <w:t>Current limits and next sensible work</w:t>
      </w:r>
    </w:p>
    <w:p>
      <w:pPr>
        <w:spacing/>
      </w:pPr>
      <w:r>
        <w:rPr>
          <w:rFonts w:ascii="Aptos" w:hAnsi="Aptos"/>
          <w:sz w:val="20"/>
        </w:rPr>
        <w:t>Before operational use, add sign-in and role-based access; decide whether to support different annual hours, employer burden, and business-day calendars; and add automated CRUD and calculation tests. If managers need an audit trail, add change history for employee rates, dates, and budget allocations.</w:t>
      </w:r>
    </w:p>
    <w:p>
      <w:pPr>
        <w:spacing w:before="170"/>
      </w:pPr>
      <w:r>
        <w:rPr>
          <w:rFonts w:ascii="Aptos" w:hAnsi="Aptos"/>
          <w:i/>
          <w:color w:val="805E2E"/>
          <w:sz w:val="18"/>
        </w:rPr>
        <w:t>Document note: the names and allocations in the initial workbook are sample data. Replace them only after access controls are in place.</w:t>
      </w:r>
    </w:p>
    <w:sectPr>
      <w:pgSz w:w="12240" w:h="15840"/>
      <w:pgMar w:top="1080" w:right="1080" w:bottom="1080" w:left="1080" w:header="540" w:footer="540" w:gutter="0"/>
    </w:sectPr>
  </w:body>
</w:document>
</file>

<file path=word/styles.xml><?xml version="1.0" encoding="utf-8"?>
<w:styles xmlns:w="http://schemas.openxmlformats.org/wordprocessingml/2006/main">
  <w:style w:type="paragraph" w:styleId="Normal">
    <w:name w:val="Normal"/>
    <w:pPr>
      <w:spacing w:before="0" w:after="120" w:line="276" w:lineRule="auto"/>
    </w:pPr>
    <w:rPr>
      <w:rFonts w:ascii="Aptos" w:hAnsi="Aptos"/>
      <w:sz w:val="20"/>
      <w:color w:val="334247"/>
    </w:rPr>
  </w:style>
  <w:style w:type="paragraph" w:styleId="Title">
    <w:name w:val="Title"/>
    <w:pPr>
      <w:spacing w:before="0" w:after="120" w:line="276" w:lineRule="auto"/>
    </w:pPr>
    <w:rPr>
      <w:rFonts w:ascii="Aptos" w:hAnsi="Aptos"/>
      <w:sz w:val="38"/>
      <w:color w:val="214D4A"/>
      <w:b/>
    </w:rPr>
  </w:style>
  <w:style w:type="paragraph" w:styleId="Subtitle">
    <w:name w:val="Subtitle"/>
    <w:pPr>
      <w:spacing w:before="0" w:after="180" w:line="276" w:lineRule="auto"/>
    </w:pPr>
    <w:rPr>
      <w:rFonts w:ascii="Aptos" w:hAnsi="Aptos"/>
      <w:sz w:val="23"/>
      <w:color w:val="71817C"/>
    </w:rPr>
  </w:style>
  <w:style w:type="paragraph" w:styleId="Heading1">
    <w:name w:val="heading 1"/>
    <w:pPr>
      <w:spacing w:before="280" w:after="110" w:line="276" w:lineRule="auto"/>
    </w:pPr>
    <w:rPr>
      <w:rFonts w:ascii="Aptos" w:hAnsi="Aptos"/>
      <w:sz w:val="28"/>
      <w:color w:val="214D4A"/>
      <w:b/>
    </w:rPr>
  </w:style>
  <w:style w:type="paragraph" w:styleId="Heading2">
    <w:name w:val="heading 2"/>
    <w:pPr>
      <w:spacing w:before="210" w:after="90" w:line="276" w:lineRule="auto"/>
    </w:pPr>
    <w:rPr>
      <w:rFonts w:ascii="Aptos" w:hAnsi="Aptos"/>
      <w:sz w:val="22"/>
      <w:color w:val="3E806B"/>
      <w:b/>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

<file path=docProps/core.xml><?xml version="1.0" encoding="utf-8"?>
<ns0:coreProperties xmlns:dc="http://purl.org/dc/elements/1.1/" xmlns:ns0="http://schemas.openxmlformats.org/package/2006/metadata/core-properties" xmlns:ns2="http://purl.org/dc/terms/" xmlns:xsi="http://www.w3.org/2001/XMLSchema-instance">
  <dc:title>Budget Burndown Planner — Project Workflow</dc:title>
  <dc:subject>Project overview, datasets, prompts, iterations, and learnings</dc:subject>
  <dc:creator>Replit Agent</dc:creator>
  <ns2:created xsi:type="dcterms:W3CDTF">2026-10-10T17:26:17Z</ns2:created>
</ns0:coreProperties>
</file>