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CF1E6" w14:textId="77777777" w:rsidR="00B65027" w:rsidRDefault="00B65027" w:rsidP="00B65027">
      <w:pPr>
        <w:pStyle w:val="Heading3"/>
        <w:ind w:left="720" w:hanging="720"/>
      </w:pPr>
      <w:bookmarkStart w:id="0" w:name="_Toc216118987"/>
      <w:r>
        <w:rPr>
          <w:lang w:val="es-VE"/>
        </w:rPr>
        <w:t xml:space="preserve">3.1.2. </w:t>
      </w:r>
      <w:bookmarkStart w:id="1" w:name="_Hlk216118910"/>
      <w:r>
        <w:rPr>
          <w:lang w:val="es-VE"/>
        </w:rPr>
        <w:t xml:space="preserve">Máquinas de Soporte Vectorial </w:t>
      </w:r>
      <w:bookmarkEnd w:id="1"/>
      <w:r w:rsidRPr="001B481D">
        <w:t>(</w:t>
      </w:r>
      <w:r>
        <w:t>SVM)</w:t>
      </w:r>
      <w:bookmarkEnd w:id="0"/>
    </w:p>
    <w:p w14:paraId="0D59943D" w14:textId="77777777" w:rsidR="002359EB" w:rsidRDefault="002359EB" w:rsidP="002359EB"/>
    <w:p w14:paraId="3E1332D3" w14:textId="77777777" w:rsidR="002359EB" w:rsidRPr="002359EB" w:rsidRDefault="002359EB" w:rsidP="002359EB">
      <w:pPr>
        <w:rPr>
          <w:b/>
          <w:bCs/>
        </w:rPr>
      </w:pPr>
      <w:r w:rsidRPr="002359EB">
        <w:rPr>
          <w:b/>
          <w:bCs/>
        </w:rPr>
        <w:t>3.1.2. Preprocesamiento y Análisis Descriptivo</w:t>
      </w:r>
    </w:p>
    <w:p w14:paraId="4A951323" w14:textId="77777777" w:rsidR="002359EB" w:rsidRDefault="002359EB" w:rsidP="002359EB"/>
    <w:p w14:paraId="38D136D0" w14:textId="5EF6AD6D" w:rsidR="002359EB" w:rsidRPr="002359EB" w:rsidRDefault="002359EB" w:rsidP="002359EB">
      <w:pPr>
        <w:rPr>
          <w:rFonts w:asciiTheme="minorHAnsi" w:hAnsiTheme="minorHAnsi" w:cstheme="minorHAnsi"/>
          <w:bCs/>
          <w:sz w:val="22"/>
          <w:szCs w:val="22"/>
          <w:lang w:val="es-VE"/>
        </w:rPr>
      </w:pPr>
      <w:r w:rsidRPr="002359EB">
        <w:rPr>
          <w:rFonts w:asciiTheme="minorHAnsi" w:hAnsiTheme="minorHAnsi" w:cstheme="minorHAnsi"/>
          <w:bCs/>
          <w:sz w:val="22"/>
          <w:szCs w:val="22"/>
          <w:lang w:val="es-VE"/>
        </w:rPr>
        <w:t>Previo a la fase de modelado, se llevó a cabo un procesamiento para estructurar el conjunto de datos y aislar la señal subyacente del ruido</w:t>
      </w:r>
      <w:r w:rsidR="001877CD">
        <w:rPr>
          <w:rFonts w:asciiTheme="minorHAnsi" w:hAnsiTheme="minorHAnsi" w:cstheme="minorHAnsi"/>
          <w:bCs/>
          <w:sz w:val="22"/>
          <w:szCs w:val="22"/>
          <w:lang w:val="es-VE"/>
        </w:rPr>
        <w:t>.</w:t>
      </w:r>
      <w:r w:rsidRPr="002359EB">
        <w:rPr>
          <w:rFonts w:asciiTheme="minorHAnsi" w:hAnsiTheme="minorHAnsi" w:cstheme="minorHAnsi"/>
          <w:bCs/>
          <w:sz w:val="22"/>
          <w:szCs w:val="22"/>
          <w:lang w:val="es-VE"/>
        </w:rPr>
        <w:t xml:space="preserve"> El enfoque principal consistió en aprovechar la dimensión temporal de las mediciones, transformando el índice de tiempo en variables predictoras granulares: hora del día, día, mes, año y el día numérico de la semana. Adicionalmente, se incorporó el consumo global ("Total") como variable exógena para ayudar al modelo a contextualizar la proporción de carga de cada subcategoría.</w:t>
      </w:r>
      <w:r w:rsidRPr="002359EB">
        <w:rPr>
          <w:rFonts w:asciiTheme="minorHAnsi" w:hAnsiTheme="minorHAnsi" w:cstheme="minorHAnsi"/>
          <w:bCs/>
          <w:sz w:val="22"/>
          <w:szCs w:val="22"/>
          <w:lang w:val="es-VE"/>
        </w:rPr>
        <w:t xml:space="preserve"> </w:t>
      </w:r>
      <w:proofErr w:type="gramStart"/>
      <w:r w:rsidRPr="002359EB">
        <w:rPr>
          <w:rFonts w:asciiTheme="minorHAnsi" w:hAnsiTheme="minorHAnsi" w:cstheme="minorHAnsi"/>
          <w:bCs/>
          <w:sz w:val="22"/>
          <w:szCs w:val="22"/>
          <w:lang w:val="es-VE"/>
        </w:rPr>
        <w:t>Dado</w:t>
      </w:r>
      <w:proofErr w:type="gramEnd"/>
      <w:r w:rsidRPr="002359EB">
        <w:rPr>
          <w:rFonts w:asciiTheme="minorHAnsi" w:hAnsiTheme="minorHAnsi" w:cstheme="minorHAnsi"/>
          <w:bCs/>
          <w:sz w:val="22"/>
          <w:szCs w:val="22"/>
          <w:lang w:val="es-VE"/>
        </w:rPr>
        <w:t xml:space="preserve"> que el registro de sensores de consumo eléctrico suele presentar fluctuaciones severas, se implementó un proceso riguroso de limpieza de datos. Se utilizó el método del Rango Intercuartílico (IQR) para identificar y aislar valores atípicos (</w:t>
      </w:r>
      <w:proofErr w:type="spellStart"/>
      <w:r w:rsidRPr="002359EB">
        <w:rPr>
          <w:rFonts w:asciiTheme="minorHAnsi" w:hAnsiTheme="minorHAnsi" w:cstheme="minorHAnsi"/>
          <w:bCs/>
          <w:sz w:val="22"/>
          <w:szCs w:val="22"/>
          <w:lang w:val="es-VE"/>
        </w:rPr>
        <w:t>outliers</w:t>
      </w:r>
      <w:proofErr w:type="spellEnd"/>
      <w:r w:rsidRPr="002359EB">
        <w:rPr>
          <w:rFonts w:asciiTheme="minorHAnsi" w:hAnsiTheme="minorHAnsi" w:cstheme="minorHAnsi"/>
          <w:bCs/>
          <w:sz w:val="22"/>
          <w:szCs w:val="22"/>
          <w:lang w:val="es-VE"/>
        </w:rPr>
        <w:t>) en las cargas principales. Los datos anómalos fueron removidos y posteriormente imputados mediante interpolación temporal lineal, asegurando la continuidad de la serie. Finalmente, debido a la alta sensibilidad geométrica de las Máquinas de Soporte Vectorial (SVM), tanto la matriz de características (X) como los vectores objetivo (</w:t>
      </w:r>
      <w:r w:rsidRPr="002359EB">
        <w:rPr>
          <w:rFonts w:asciiTheme="minorHAnsi" w:hAnsiTheme="minorHAnsi" w:cstheme="minorHAnsi"/>
          <w:bCs/>
          <w:sz w:val="22"/>
          <w:szCs w:val="22"/>
          <w:lang w:val="es-VE"/>
        </w:rPr>
        <w:t>y)</w:t>
      </w:r>
      <w:r w:rsidRPr="002359EB">
        <w:rPr>
          <w:rFonts w:asciiTheme="minorHAnsi" w:hAnsiTheme="minorHAnsi" w:cstheme="minorHAnsi"/>
          <w:bCs/>
          <w:sz w:val="22"/>
          <w:szCs w:val="22"/>
          <w:lang w:val="es-VE"/>
        </w:rPr>
        <w:t xml:space="preserve"> fueron escalados utilizando una estandarización de media cero y varianza unitaria</w:t>
      </w:r>
      <w:r w:rsidRPr="002359EB">
        <w:rPr>
          <w:rFonts w:asciiTheme="minorHAnsi" w:hAnsiTheme="minorHAnsi" w:cstheme="minorHAnsi"/>
          <w:bCs/>
          <w:sz w:val="22"/>
          <w:szCs w:val="22"/>
          <w:lang w:val="es-VE"/>
        </w:rPr>
        <w:t>.</w:t>
      </w:r>
    </w:p>
    <w:p w14:paraId="74BB3545" w14:textId="77777777" w:rsidR="002359EB" w:rsidRDefault="002359EB" w:rsidP="002359EB"/>
    <w:p w14:paraId="6D8674D0" w14:textId="77777777" w:rsidR="002359EB" w:rsidRPr="00851B1B" w:rsidRDefault="002359EB" w:rsidP="002359EB">
      <w:pPr>
        <w:rPr>
          <w:b/>
          <w:bCs/>
        </w:rPr>
      </w:pPr>
      <w:r w:rsidRPr="00851B1B">
        <w:rPr>
          <w:b/>
          <w:bCs/>
        </w:rPr>
        <w:t>3.1.3. Implementación y Optimización de la Máquina de Soporte Vectorial (SVR)</w:t>
      </w:r>
    </w:p>
    <w:p w14:paraId="54B91BF3" w14:textId="77777777" w:rsidR="002359EB" w:rsidRDefault="002359EB" w:rsidP="002359EB"/>
    <w:p w14:paraId="383CAF06" w14:textId="77777777" w:rsidR="002359EB" w:rsidRDefault="002359EB" w:rsidP="002359EB">
      <w:pPr>
        <w:rPr>
          <w:rFonts w:asciiTheme="minorHAnsi" w:hAnsiTheme="minorHAnsi" w:cstheme="minorHAnsi"/>
          <w:bCs/>
          <w:sz w:val="22"/>
          <w:szCs w:val="22"/>
          <w:lang w:val="es-VE"/>
        </w:rPr>
      </w:pPr>
      <w:r w:rsidRPr="002359EB">
        <w:rPr>
          <w:rFonts w:asciiTheme="minorHAnsi" w:hAnsiTheme="minorHAnsi" w:cstheme="minorHAnsi"/>
          <w:bCs/>
          <w:sz w:val="22"/>
          <w:szCs w:val="22"/>
          <w:lang w:val="es-VE"/>
        </w:rPr>
        <w:t xml:space="preserve">La implementación del sistema de desagregación mediante Regresión de Vectores de Soporte (SVR) se configuró utilizando un </w:t>
      </w:r>
      <w:proofErr w:type="spellStart"/>
      <w:r w:rsidRPr="002359EB">
        <w:rPr>
          <w:rFonts w:asciiTheme="minorHAnsi" w:hAnsiTheme="minorHAnsi" w:cstheme="minorHAnsi"/>
          <w:bCs/>
          <w:sz w:val="22"/>
          <w:szCs w:val="22"/>
          <w:lang w:val="es-VE"/>
        </w:rPr>
        <w:t>kernel</w:t>
      </w:r>
      <w:proofErr w:type="spellEnd"/>
      <w:r w:rsidRPr="002359EB">
        <w:rPr>
          <w:rFonts w:asciiTheme="minorHAnsi" w:hAnsiTheme="minorHAnsi" w:cstheme="minorHAnsi"/>
          <w:bCs/>
          <w:sz w:val="22"/>
          <w:szCs w:val="22"/>
          <w:lang w:val="es-VE"/>
        </w:rPr>
        <w:t xml:space="preserve"> de Base Radial (RBF), el cual es idóneo para capturar relaciones no lineales complejas en series temporales de energía.</w:t>
      </w:r>
    </w:p>
    <w:p w14:paraId="7FB254FE" w14:textId="77777777" w:rsidR="002359EB" w:rsidRDefault="002359EB" w:rsidP="002359EB">
      <w:pPr>
        <w:rPr>
          <w:rFonts w:asciiTheme="minorHAnsi" w:hAnsiTheme="minorHAnsi" w:cstheme="minorHAnsi"/>
          <w:bCs/>
          <w:sz w:val="22"/>
          <w:szCs w:val="22"/>
          <w:lang w:val="es-VE"/>
        </w:rPr>
      </w:pPr>
    </w:p>
    <w:p w14:paraId="4FBC3648" w14:textId="62046F51" w:rsidR="002359EB" w:rsidRPr="002359EB" w:rsidRDefault="002359EB" w:rsidP="002359EB">
      <w:pPr>
        <w:rPr>
          <w:rFonts w:asciiTheme="minorHAnsi" w:hAnsiTheme="minorHAnsi" w:cstheme="minorHAnsi"/>
          <w:bCs/>
          <w:sz w:val="22"/>
          <w:szCs w:val="22"/>
          <w:lang w:val="es-VE"/>
        </w:rPr>
      </w:pPr>
      <w:r w:rsidRPr="002359EB">
        <w:rPr>
          <w:rFonts w:asciiTheme="minorHAnsi" w:hAnsiTheme="minorHAnsi" w:cstheme="minorHAnsi"/>
          <w:bCs/>
          <w:sz w:val="22"/>
          <w:szCs w:val="22"/>
          <w:lang w:val="es-VE"/>
        </w:rPr>
        <w:t xml:space="preserve">Para maximizar la capacidad de generalización del modelo, se definió una estrategia de calibración de </w:t>
      </w:r>
      <w:proofErr w:type="spellStart"/>
      <w:r w:rsidRPr="002359EB">
        <w:rPr>
          <w:rFonts w:asciiTheme="minorHAnsi" w:hAnsiTheme="minorHAnsi" w:cstheme="minorHAnsi"/>
          <w:bCs/>
          <w:sz w:val="22"/>
          <w:szCs w:val="22"/>
          <w:lang w:val="es-VE"/>
        </w:rPr>
        <w:t>hiperparámetros</w:t>
      </w:r>
      <w:proofErr w:type="spellEnd"/>
      <w:r w:rsidR="00851B1B">
        <w:rPr>
          <w:rFonts w:asciiTheme="minorHAnsi" w:hAnsiTheme="minorHAnsi" w:cstheme="minorHAnsi"/>
          <w:bCs/>
          <w:sz w:val="22"/>
          <w:szCs w:val="22"/>
          <w:lang w:val="es-VE"/>
        </w:rPr>
        <w:t xml:space="preserve"> </w:t>
      </w:r>
      <w:proofErr w:type="spellStart"/>
      <w:r w:rsidRPr="00851B1B">
        <w:rPr>
          <w:rFonts w:asciiTheme="minorHAnsi" w:hAnsiTheme="minorHAnsi" w:cstheme="minorHAnsi"/>
          <w:b/>
          <w:sz w:val="22"/>
          <w:szCs w:val="22"/>
          <w:lang w:val="es-VE"/>
        </w:rPr>
        <w:t>Grid</w:t>
      </w:r>
      <w:proofErr w:type="spellEnd"/>
      <w:r w:rsidRPr="00851B1B">
        <w:rPr>
          <w:rFonts w:asciiTheme="minorHAnsi" w:hAnsiTheme="minorHAnsi" w:cstheme="minorHAnsi"/>
          <w:b/>
          <w:sz w:val="22"/>
          <w:szCs w:val="22"/>
          <w:lang w:val="es-VE"/>
        </w:rPr>
        <w:t xml:space="preserve"> </w:t>
      </w:r>
      <w:proofErr w:type="gramStart"/>
      <w:r w:rsidRPr="00851B1B">
        <w:rPr>
          <w:rFonts w:asciiTheme="minorHAnsi" w:hAnsiTheme="minorHAnsi" w:cstheme="minorHAnsi"/>
          <w:b/>
          <w:sz w:val="22"/>
          <w:szCs w:val="22"/>
          <w:lang w:val="es-VE"/>
        </w:rPr>
        <w:t>Search</w:t>
      </w:r>
      <w:r w:rsidRPr="002359EB">
        <w:rPr>
          <w:rFonts w:asciiTheme="minorHAnsi" w:hAnsiTheme="minorHAnsi" w:cstheme="minorHAnsi"/>
          <w:bCs/>
          <w:sz w:val="22"/>
          <w:szCs w:val="22"/>
          <w:lang w:val="es-VE"/>
        </w:rPr>
        <w:t xml:space="preserve"> </w:t>
      </w:r>
      <w:r w:rsidR="00851B1B">
        <w:rPr>
          <w:rFonts w:asciiTheme="minorHAnsi" w:hAnsiTheme="minorHAnsi" w:cstheme="minorHAnsi"/>
          <w:bCs/>
          <w:sz w:val="22"/>
          <w:szCs w:val="22"/>
          <w:lang w:val="es-VE"/>
        </w:rPr>
        <w:t xml:space="preserve"> </w:t>
      </w:r>
      <w:r w:rsidRPr="002359EB">
        <w:rPr>
          <w:rFonts w:asciiTheme="minorHAnsi" w:hAnsiTheme="minorHAnsi" w:cstheme="minorHAnsi"/>
          <w:bCs/>
          <w:sz w:val="22"/>
          <w:szCs w:val="22"/>
          <w:lang w:val="es-VE"/>
        </w:rPr>
        <w:t>mediante</w:t>
      </w:r>
      <w:proofErr w:type="gramEnd"/>
      <w:r w:rsidRPr="002359EB">
        <w:rPr>
          <w:rFonts w:asciiTheme="minorHAnsi" w:hAnsiTheme="minorHAnsi" w:cstheme="minorHAnsi"/>
          <w:bCs/>
          <w:sz w:val="22"/>
          <w:szCs w:val="22"/>
          <w:lang w:val="es-VE"/>
        </w:rPr>
        <w:t xml:space="preserve"> Búsqueda en Cuadrícula, evaluando diferentes combinaciones del parámetro de regularización </w:t>
      </w:r>
      <w:r w:rsidRPr="00851B1B">
        <w:rPr>
          <w:rFonts w:asciiTheme="minorHAnsi" w:hAnsiTheme="minorHAnsi" w:cstheme="minorHAnsi"/>
          <w:bCs/>
          <w:i/>
          <w:iCs/>
          <w:sz w:val="22"/>
          <w:szCs w:val="22"/>
          <w:lang w:val="es-VE"/>
        </w:rPr>
        <w:t>(C)</w:t>
      </w:r>
      <w:r w:rsidRPr="002359EB">
        <w:rPr>
          <w:rFonts w:asciiTheme="minorHAnsi" w:hAnsiTheme="minorHAnsi" w:cstheme="minorHAnsi"/>
          <w:bCs/>
          <w:sz w:val="22"/>
          <w:szCs w:val="22"/>
          <w:lang w:val="es-VE"/>
        </w:rPr>
        <w:t xml:space="preserve">, el coeficiente del </w:t>
      </w:r>
      <w:proofErr w:type="spellStart"/>
      <w:r w:rsidRPr="002359EB">
        <w:rPr>
          <w:rFonts w:asciiTheme="minorHAnsi" w:hAnsiTheme="minorHAnsi" w:cstheme="minorHAnsi"/>
          <w:bCs/>
          <w:sz w:val="22"/>
          <w:szCs w:val="22"/>
          <w:lang w:val="es-VE"/>
        </w:rPr>
        <w:t>kernel</w:t>
      </w:r>
      <w:proofErr w:type="spellEnd"/>
      <w:r w:rsidRPr="002359EB">
        <w:rPr>
          <w:rFonts w:asciiTheme="minorHAnsi" w:hAnsiTheme="minorHAnsi" w:cstheme="minorHAnsi"/>
          <w:bCs/>
          <w:sz w:val="22"/>
          <w:szCs w:val="22"/>
          <w:lang w:val="es-VE"/>
        </w:rPr>
        <w:t xml:space="preserve"> (</w:t>
      </w:r>
      <w:r w:rsidR="00851B1B">
        <w:rPr>
          <w:rFonts w:asciiTheme="minorHAnsi" w:hAnsiTheme="minorHAnsi" w:cstheme="minorHAnsi"/>
          <w:bCs/>
          <w:sz w:val="22"/>
          <w:szCs w:val="22"/>
          <w:lang w:val="es-VE"/>
        </w:rPr>
        <w:t xml:space="preserve">Y) </w:t>
      </w:r>
      <w:r w:rsidRPr="002359EB">
        <w:rPr>
          <w:rFonts w:asciiTheme="minorHAnsi" w:hAnsiTheme="minorHAnsi" w:cstheme="minorHAnsi"/>
          <w:bCs/>
          <w:sz w:val="22"/>
          <w:szCs w:val="22"/>
          <w:lang w:val="es-VE"/>
        </w:rPr>
        <w:t xml:space="preserve">y el margen de tolerancia </w:t>
      </w:r>
      <w:proofErr w:type="gramStart"/>
      <w:r w:rsidRPr="00851B1B">
        <w:rPr>
          <w:rFonts w:asciiTheme="minorHAnsi" w:hAnsiTheme="minorHAnsi" w:cstheme="minorHAnsi"/>
          <w:bCs/>
          <w:i/>
          <w:iCs/>
          <w:sz w:val="22"/>
          <w:szCs w:val="22"/>
          <w:lang w:val="es-VE"/>
        </w:rPr>
        <w:t>(</w:t>
      </w:r>
      <w:r w:rsidR="00851B1B">
        <w:rPr>
          <w:rFonts w:asciiTheme="minorHAnsi" w:hAnsiTheme="minorHAnsi" w:cstheme="minorHAnsi"/>
          <w:bCs/>
          <w:i/>
          <w:iCs/>
          <w:sz w:val="22"/>
          <w:szCs w:val="22"/>
          <w:lang w:val="es-VE"/>
        </w:rPr>
        <w:t xml:space="preserve"> €</w:t>
      </w:r>
      <w:proofErr w:type="gramEnd"/>
      <w:r w:rsidRPr="00851B1B">
        <w:rPr>
          <w:rFonts w:asciiTheme="minorHAnsi" w:hAnsiTheme="minorHAnsi" w:cstheme="minorHAnsi"/>
          <w:bCs/>
          <w:i/>
          <w:iCs/>
          <w:sz w:val="22"/>
          <w:szCs w:val="22"/>
          <w:lang w:val="es-VE"/>
        </w:rPr>
        <w:t>)</w:t>
      </w:r>
      <w:r w:rsidRPr="002359EB">
        <w:rPr>
          <w:rFonts w:asciiTheme="minorHAnsi" w:hAnsiTheme="minorHAnsi" w:cstheme="minorHAnsi"/>
          <w:bCs/>
          <w:sz w:val="22"/>
          <w:szCs w:val="22"/>
          <w:lang w:val="es-VE"/>
        </w:rPr>
        <w:t xml:space="preserve">. La configuración final se estandarizó para todas las cargas con los siguientes valores óptimos: </w:t>
      </w:r>
      <w:r w:rsidRPr="00851B1B">
        <w:rPr>
          <w:rFonts w:asciiTheme="minorHAnsi" w:hAnsiTheme="minorHAnsi" w:cstheme="minorHAnsi"/>
          <w:bCs/>
          <w:i/>
          <w:iCs/>
          <w:sz w:val="22"/>
          <w:szCs w:val="22"/>
          <w:lang w:val="es-VE"/>
        </w:rPr>
        <w:t>C=100</w:t>
      </w:r>
      <w:r w:rsidRPr="002359EB">
        <w:rPr>
          <w:rFonts w:asciiTheme="minorHAnsi" w:hAnsiTheme="minorHAnsi" w:cstheme="minorHAnsi"/>
          <w:bCs/>
          <w:sz w:val="22"/>
          <w:szCs w:val="22"/>
          <w:lang w:val="es-VE"/>
        </w:rPr>
        <w:t>,</w:t>
      </w:r>
      <w:r w:rsidR="00851B1B" w:rsidRPr="00851B1B">
        <w:rPr>
          <w:rFonts w:asciiTheme="minorHAnsi" w:hAnsiTheme="minorHAnsi" w:cstheme="minorHAnsi"/>
          <w:bCs/>
          <w:sz w:val="22"/>
          <w:szCs w:val="22"/>
          <w:lang w:val="es-VE"/>
        </w:rPr>
        <w:t xml:space="preserve"> </w:t>
      </w:r>
      <w:r w:rsidR="00851B1B">
        <w:rPr>
          <w:rFonts w:asciiTheme="minorHAnsi" w:hAnsiTheme="minorHAnsi" w:cstheme="minorHAnsi"/>
          <w:bCs/>
          <w:sz w:val="22"/>
          <w:szCs w:val="22"/>
          <w:lang w:val="es-VE"/>
        </w:rPr>
        <w:t>Y</w:t>
      </w:r>
      <w:r w:rsidRPr="002359EB">
        <w:rPr>
          <w:rFonts w:asciiTheme="minorHAnsi" w:hAnsiTheme="minorHAnsi" w:cstheme="minorHAnsi"/>
          <w:bCs/>
          <w:sz w:val="22"/>
          <w:szCs w:val="22"/>
          <w:lang w:val="es-VE"/>
        </w:rPr>
        <w:t xml:space="preserve">, y </w:t>
      </w:r>
      <w:proofErr w:type="spellStart"/>
      <w:r w:rsidR="00851B1B">
        <w:rPr>
          <w:rFonts w:asciiTheme="minorHAnsi" w:hAnsiTheme="minorHAnsi" w:cstheme="minorHAnsi"/>
          <w:bCs/>
          <w:sz w:val="22"/>
          <w:szCs w:val="22"/>
          <w:lang w:val="es-VE"/>
        </w:rPr>
        <w:t>Y</w:t>
      </w:r>
      <w:proofErr w:type="spellEnd"/>
      <w:r w:rsidR="00851B1B" w:rsidRPr="002359EB">
        <w:rPr>
          <w:rFonts w:asciiTheme="minorHAnsi" w:hAnsiTheme="minorHAnsi" w:cstheme="minorHAnsi"/>
          <w:bCs/>
          <w:sz w:val="22"/>
          <w:szCs w:val="22"/>
          <w:lang w:val="es-VE"/>
        </w:rPr>
        <w:t xml:space="preserve"> </w:t>
      </w:r>
      <w:r w:rsidRPr="002359EB">
        <w:rPr>
          <w:rFonts w:asciiTheme="minorHAnsi" w:hAnsiTheme="minorHAnsi" w:cstheme="minorHAnsi"/>
          <w:bCs/>
          <w:sz w:val="22"/>
          <w:szCs w:val="22"/>
          <w:lang w:val="es-VE"/>
        </w:rPr>
        <w:t>=0.1.</w:t>
      </w:r>
      <w:r w:rsidR="00851B1B" w:rsidRPr="00851B1B">
        <w:rPr>
          <w:rFonts w:asciiTheme="minorHAnsi" w:hAnsiTheme="minorHAnsi" w:cstheme="minorHAnsi"/>
          <w:bCs/>
          <w:i/>
          <w:iCs/>
          <w:sz w:val="22"/>
          <w:szCs w:val="22"/>
          <w:lang w:val="es-VE"/>
        </w:rPr>
        <w:t xml:space="preserve"> </w:t>
      </w:r>
      <w:r w:rsidR="00851B1B">
        <w:rPr>
          <w:rFonts w:asciiTheme="minorHAnsi" w:hAnsiTheme="minorHAnsi" w:cstheme="minorHAnsi"/>
          <w:bCs/>
          <w:i/>
          <w:iCs/>
          <w:sz w:val="22"/>
          <w:szCs w:val="22"/>
          <w:lang w:val="es-VE"/>
        </w:rPr>
        <w:t>€</w:t>
      </w:r>
      <w:r w:rsidRPr="002359EB">
        <w:rPr>
          <w:rFonts w:asciiTheme="minorHAnsi" w:hAnsiTheme="minorHAnsi" w:cstheme="minorHAnsi"/>
          <w:bCs/>
          <w:sz w:val="22"/>
          <w:szCs w:val="22"/>
          <w:lang w:val="es-VE"/>
        </w:rPr>
        <w:t xml:space="preserve"> Esta configuración permitió mantener un equilibrio entre el sesgo y la varianza, adaptándose a las curvas de carga diarias.</w:t>
      </w:r>
    </w:p>
    <w:p w14:paraId="0288D854" w14:textId="77777777" w:rsidR="00B65027" w:rsidRPr="00DB645B" w:rsidRDefault="00B65027" w:rsidP="00B65027">
      <w:pPr>
        <w:pStyle w:val="BodyText"/>
      </w:pPr>
    </w:p>
    <w:p w14:paraId="56DFC4D6" w14:textId="0CCFD178" w:rsidR="00B65027" w:rsidRDefault="00B65027" w:rsidP="00B65027">
      <w:pPr>
        <w:pStyle w:val="BodyText"/>
        <w:jc w:val="both"/>
        <w:rPr>
          <w:rFonts w:asciiTheme="minorHAnsi" w:hAnsiTheme="minorHAnsi" w:cstheme="minorHAnsi"/>
          <w:bCs/>
          <w:sz w:val="22"/>
          <w:szCs w:val="22"/>
          <w:lang w:val="es-VE"/>
        </w:rPr>
      </w:pPr>
      <w:r w:rsidRPr="00DB645B">
        <w:rPr>
          <w:rFonts w:asciiTheme="minorHAnsi" w:hAnsiTheme="minorHAnsi" w:cstheme="minorHAnsi"/>
          <w:bCs/>
          <w:sz w:val="22"/>
          <w:szCs w:val="22"/>
          <w:lang w:val="es-VE"/>
        </w:rPr>
        <w:t xml:space="preserve">La implementación del sistema de desagregación mediante Máquinas de Soporte Vectorial (SVR) se configuró utilizando un </w:t>
      </w:r>
      <w:proofErr w:type="spellStart"/>
      <w:r w:rsidRPr="00851B1B">
        <w:rPr>
          <w:rFonts w:asciiTheme="minorHAnsi" w:hAnsiTheme="minorHAnsi" w:cstheme="minorHAnsi"/>
          <w:b/>
          <w:sz w:val="22"/>
          <w:szCs w:val="22"/>
          <w:lang w:val="es-VE"/>
        </w:rPr>
        <w:t>kernel</w:t>
      </w:r>
      <w:proofErr w:type="spellEnd"/>
      <w:r w:rsidRPr="00851B1B">
        <w:rPr>
          <w:rFonts w:asciiTheme="minorHAnsi" w:hAnsiTheme="minorHAnsi" w:cstheme="minorHAnsi"/>
          <w:b/>
          <w:sz w:val="22"/>
          <w:szCs w:val="22"/>
          <w:lang w:val="es-VE"/>
        </w:rPr>
        <w:t xml:space="preserve"> de Base Radial (RBF),</w:t>
      </w:r>
      <w:r w:rsidRPr="00DB645B">
        <w:rPr>
          <w:rFonts w:asciiTheme="minorHAnsi" w:hAnsiTheme="minorHAnsi" w:cstheme="minorHAnsi"/>
          <w:bCs/>
          <w:sz w:val="22"/>
          <w:szCs w:val="22"/>
          <w:lang w:val="es-VE"/>
        </w:rPr>
        <w:t xml:space="preserve"> el cual es idóneo para capturar relaciones no lineales en los datos. La configuración de los </w:t>
      </w:r>
      <w:proofErr w:type="spellStart"/>
      <w:r w:rsidRPr="00DB645B">
        <w:rPr>
          <w:rFonts w:asciiTheme="minorHAnsi" w:hAnsiTheme="minorHAnsi" w:cstheme="minorHAnsi"/>
          <w:bCs/>
          <w:sz w:val="22"/>
          <w:szCs w:val="22"/>
          <w:lang w:val="es-VE"/>
        </w:rPr>
        <w:t>hiperparámetros</w:t>
      </w:r>
      <w:proofErr w:type="spellEnd"/>
      <w:r w:rsidRPr="00DB645B">
        <w:rPr>
          <w:rFonts w:asciiTheme="minorHAnsi" w:hAnsiTheme="minorHAnsi" w:cstheme="minorHAnsi"/>
          <w:bCs/>
          <w:sz w:val="22"/>
          <w:szCs w:val="22"/>
          <w:lang w:val="es-VE"/>
        </w:rPr>
        <w:t xml:space="preserve"> se estandarizó para todas las cargas con un parámetro de regularización C=100, un coeficiente de </w:t>
      </w:r>
      <w:proofErr w:type="spellStart"/>
      <w:r w:rsidRPr="00DB645B">
        <w:rPr>
          <w:rFonts w:asciiTheme="minorHAnsi" w:hAnsiTheme="minorHAnsi" w:cstheme="minorHAnsi"/>
          <w:bCs/>
          <w:sz w:val="22"/>
          <w:szCs w:val="22"/>
          <w:lang w:val="es-VE"/>
        </w:rPr>
        <w:t>kernel</w:t>
      </w:r>
      <w:proofErr w:type="spellEnd"/>
      <w:r w:rsidRPr="00DB645B">
        <w:rPr>
          <w:rFonts w:asciiTheme="minorHAnsi" w:hAnsiTheme="minorHAnsi" w:cstheme="minorHAnsi"/>
          <w:bCs/>
          <w:sz w:val="22"/>
          <w:szCs w:val="22"/>
          <w:lang w:val="es-VE"/>
        </w:rPr>
        <w:t xml:space="preserve"> </w:t>
      </w:r>
      <w:r w:rsidR="00851B1B">
        <w:rPr>
          <w:rFonts w:asciiTheme="minorHAnsi" w:hAnsiTheme="minorHAnsi" w:cstheme="minorHAnsi"/>
          <w:bCs/>
          <w:sz w:val="22"/>
          <w:szCs w:val="22"/>
          <w:lang w:val="es-VE"/>
        </w:rPr>
        <w:t>Y</w:t>
      </w:r>
      <w:r w:rsidRPr="00DB645B">
        <w:rPr>
          <w:rFonts w:asciiTheme="minorHAnsi" w:hAnsiTheme="minorHAnsi" w:cstheme="minorHAnsi"/>
          <w:bCs/>
          <w:sz w:val="22"/>
          <w:szCs w:val="22"/>
          <w:lang w:val="es-VE"/>
        </w:rPr>
        <w:t xml:space="preserve">=0.1 y un margen de error </w:t>
      </w:r>
      <w:proofErr w:type="spellStart"/>
      <w:r w:rsidRPr="00DB645B">
        <w:rPr>
          <w:rFonts w:asciiTheme="minorHAnsi" w:hAnsiTheme="minorHAnsi" w:cstheme="minorHAnsi"/>
          <w:bCs/>
          <w:sz w:val="22"/>
          <w:szCs w:val="22"/>
          <w:lang w:val="es-VE"/>
        </w:rPr>
        <w:t>epsilon</w:t>
      </w:r>
      <w:proofErr w:type="spellEnd"/>
      <w:r w:rsidRPr="00DB645B">
        <w:rPr>
          <w:rFonts w:asciiTheme="minorHAnsi" w:hAnsiTheme="minorHAnsi" w:cstheme="minorHAnsi"/>
          <w:bCs/>
          <w:sz w:val="22"/>
          <w:szCs w:val="22"/>
          <w:lang w:val="es-VE"/>
        </w:rPr>
        <w:t>=0.1. A diferencia del enfoque con redes neuronales, esta metodología incluyó una etapa previa rigurosa de limpieza de datos, donde se eliminaron valores atípicos (</w:t>
      </w:r>
      <w:proofErr w:type="spellStart"/>
      <w:r w:rsidRPr="00DB645B">
        <w:rPr>
          <w:rFonts w:asciiTheme="minorHAnsi" w:hAnsiTheme="minorHAnsi" w:cstheme="minorHAnsi"/>
          <w:bCs/>
          <w:sz w:val="22"/>
          <w:szCs w:val="22"/>
          <w:lang w:val="es-VE"/>
        </w:rPr>
        <w:t>outliers</w:t>
      </w:r>
      <w:proofErr w:type="spellEnd"/>
      <w:r w:rsidRPr="00DB645B">
        <w:rPr>
          <w:rFonts w:asciiTheme="minorHAnsi" w:hAnsiTheme="minorHAnsi" w:cstheme="minorHAnsi"/>
          <w:bCs/>
          <w:sz w:val="22"/>
          <w:szCs w:val="22"/>
          <w:lang w:val="es-VE"/>
        </w:rPr>
        <w:t>) mediante el rango intercuartílico (IQR) y se aplicó interpolación temporal, además de un escalado estandarizado (</w:t>
      </w:r>
      <w:proofErr w:type="spellStart"/>
      <w:r w:rsidRPr="00DB645B">
        <w:rPr>
          <w:rFonts w:asciiTheme="minorHAnsi" w:hAnsiTheme="minorHAnsi" w:cstheme="minorHAnsi"/>
          <w:bCs/>
          <w:sz w:val="22"/>
          <w:szCs w:val="22"/>
          <w:lang w:val="es-VE"/>
        </w:rPr>
        <w:t>StandardScaler</w:t>
      </w:r>
      <w:proofErr w:type="spellEnd"/>
      <w:r w:rsidRPr="00DB645B">
        <w:rPr>
          <w:rFonts w:asciiTheme="minorHAnsi" w:hAnsiTheme="minorHAnsi" w:cstheme="minorHAnsi"/>
          <w:bCs/>
          <w:sz w:val="22"/>
          <w:szCs w:val="22"/>
          <w:lang w:val="es-VE"/>
        </w:rPr>
        <w:t>) tanto para las variables predictoras (tiempo y consumo total) como para las variables objetivo.</w:t>
      </w:r>
    </w:p>
    <w:p w14:paraId="618F3A08" w14:textId="77777777" w:rsidR="00B65027" w:rsidRDefault="00B65027" w:rsidP="00B65027">
      <w:pPr>
        <w:pStyle w:val="BodyText"/>
        <w:jc w:val="both"/>
        <w:rPr>
          <w:rFonts w:asciiTheme="minorHAnsi" w:hAnsiTheme="minorHAnsi" w:cstheme="minorHAnsi"/>
          <w:bCs/>
          <w:sz w:val="22"/>
          <w:szCs w:val="22"/>
          <w:lang w:val="es-VE"/>
        </w:rPr>
      </w:pPr>
      <w:r w:rsidRPr="00DB645B">
        <w:rPr>
          <w:rFonts w:asciiTheme="minorHAnsi" w:hAnsiTheme="minorHAnsi" w:cstheme="minorHAnsi"/>
          <w:bCs/>
          <w:sz w:val="22"/>
          <w:szCs w:val="22"/>
          <w:lang w:val="es-VE"/>
        </w:rPr>
        <w:t>Los resultados obtenidos evidencian una capacidad predictiva notablemente superior y más estable en comparación con modelos previos. La carga de Calefacción (</w:t>
      </w:r>
      <w:proofErr w:type="spellStart"/>
      <w:r w:rsidRPr="00DB645B">
        <w:rPr>
          <w:rFonts w:asciiTheme="minorHAnsi" w:hAnsiTheme="minorHAnsi" w:cstheme="minorHAnsi"/>
          <w:bCs/>
          <w:sz w:val="22"/>
          <w:szCs w:val="22"/>
          <w:lang w:val="es-VE"/>
        </w:rPr>
        <w:t>Heating</w:t>
      </w:r>
      <w:proofErr w:type="spellEnd"/>
      <w:r w:rsidRPr="00DB645B">
        <w:rPr>
          <w:rFonts w:asciiTheme="minorHAnsi" w:hAnsiTheme="minorHAnsi" w:cstheme="minorHAnsi"/>
          <w:bCs/>
          <w:sz w:val="22"/>
          <w:szCs w:val="22"/>
          <w:lang w:val="es-VE"/>
        </w:rPr>
        <w:t xml:space="preserve">) presentó el mejor desempeño del conjunto, con un coeficiente de determinación R2=0.891 y un Error Cuadrático Medio (RMSE) de 21.689 W, Este valor indica que el modelo logra explicar el 89% de la variabilidad del consumo de calefacción, lo cual sugiere que, tras la limpieza de datos, el SVR logró capturar eficazmente la estacionalidad y la dependencia horaria de esta carga. De manera similar, la </w:t>
      </w:r>
      <w:r w:rsidRPr="00DB645B">
        <w:rPr>
          <w:rFonts w:asciiTheme="minorHAnsi" w:hAnsiTheme="minorHAnsi" w:cstheme="minorHAnsi"/>
          <w:bCs/>
          <w:sz w:val="22"/>
          <w:szCs w:val="22"/>
          <w:lang w:val="es-VE"/>
        </w:rPr>
        <w:lastRenderedPageBreak/>
        <w:t>Iluminación (</w:t>
      </w:r>
      <w:proofErr w:type="spellStart"/>
      <w:r w:rsidRPr="00DB645B">
        <w:rPr>
          <w:rFonts w:asciiTheme="minorHAnsi" w:hAnsiTheme="minorHAnsi" w:cstheme="minorHAnsi"/>
          <w:bCs/>
          <w:sz w:val="22"/>
          <w:szCs w:val="22"/>
          <w:lang w:val="es-VE"/>
        </w:rPr>
        <w:t>Lighting</w:t>
      </w:r>
      <w:proofErr w:type="spellEnd"/>
      <w:r w:rsidRPr="00DB645B">
        <w:rPr>
          <w:rFonts w:asciiTheme="minorHAnsi" w:hAnsiTheme="minorHAnsi" w:cstheme="minorHAnsi"/>
          <w:bCs/>
          <w:sz w:val="22"/>
          <w:szCs w:val="22"/>
          <w:lang w:val="es-VE"/>
        </w:rPr>
        <w:t>) mostró una robustez alta con un R2=0.872 y un error reducido de 5.123 W, confirmando que los patrones de luz son altamente predecibles mediante variables temporales.</w:t>
      </w:r>
    </w:p>
    <w:p w14:paraId="4EB23227" w14:textId="77777777" w:rsidR="00B65027" w:rsidRPr="00DB645B" w:rsidRDefault="00B65027" w:rsidP="00B65027">
      <w:pPr>
        <w:pStyle w:val="BodyText"/>
        <w:jc w:val="both"/>
        <w:rPr>
          <w:rFonts w:asciiTheme="minorHAnsi" w:hAnsiTheme="minorHAnsi" w:cstheme="minorHAnsi"/>
          <w:bCs/>
          <w:sz w:val="22"/>
          <w:szCs w:val="22"/>
          <w:lang w:val="es-VE"/>
        </w:rPr>
      </w:pPr>
      <w:r w:rsidRPr="00DB645B">
        <w:rPr>
          <w:rFonts w:asciiTheme="minorHAnsi" w:hAnsiTheme="minorHAnsi" w:cstheme="minorHAnsi"/>
          <w:bCs/>
          <w:sz w:val="22"/>
          <w:szCs w:val="22"/>
          <w:lang w:val="es-VE"/>
        </w:rPr>
        <w:t>En un nivel de rendimiento intermedio-alto se encuentran las cargas de Refrigeración (Cooling) y Enchufes (</w:t>
      </w:r>
      <w:proofErr w:type="spellStart"/>
      <w:r w:rsidRPr="00DB645B">
        <w:rPr>
          <w:rFonts w:asciiTheme="minorHAnsi" w:hAnsiTheme="minorHAnsi" w:cstheme="minorHAnsi"/>
          <w:bCs/>
          <w:sz w:val="22"/>
          <w:szCs w:val="22"/>
          <w:lang w:val="es-VE"/>
        </w:rPr>
        <w:t>Sokets</w:t>
      </w:r>
      <w:proofErr w:type="spellEnd"/>
      <w:r w:rsidRPr="00DB645B">
        <w:rPr>
          <w:rFonts w:asciiTheme="minorHAnsi" w:hAnsiTheme="minorHAnsi" w:cstheme="minorHAnsi"/>
          <w:bCs/>
          <w:sz w:val="22"/>
          <w:szCs w:val="22"/>
          <w:lang w:val="es-VE"/>
        </w:rPr>
        <w:t xml:space="preserve"> </w:t>
      </w:r>
      <w:proofErr w:type="spellStart"/>
      <w:r w:rsidRPr="00DB645B">
        <w:rPr>
          <w:rFonts w:asciiTheme="minorHAnsi" w:hAnsiTheme="minorHAnsi" w:cstheme="minorHAnsi"/>
          <w:bCs/>
          <w:sz w:val="22"/>
          <w:szCs w:val="22"/>
          <w:lang w:val="es-VE"/>
        </w:rPr>
        <w:t>plug</w:t>
      </w:r>
      <w:proofErr w:type="spellEnd"/>
      <w:r w:rsidRPr="00DB645B">
        <w:rPr>
          <w:rFonts w:asciiTheme="minorHAnsi" w:hAnsiTheme="minorHAnsi" w:cstheme="minorHAnsi"/>
          <w:bCs/>
          <w:sz w:val="22"/>
          <w:szCs w:val="22"/>
          <w:lang w:val="es-VE"/>
        </w:rPr>
        <w:t>). Para el caso de la refrigeración, se obtuvo un R2=0.764 y un RMSE de 13.557 W, mientras que los enchufes alcanzaron un R2=0.757 con un error de 3.427. Es particularmente destacable el rendimiento en la categoría de enchufes, la cual suele ser estocástica; el éxito aquí puede atribuirse a que la eliminación de picos atípicos suavizó la señal, permitiendo al SVR modelar la tendencia base del comportamiento del usuario.</w:t>
      </w:r>
    </w:p>
    <w:p w14:paraId="253AD591" w14:textId="77777777" w:rsidR="00B65027" w:rsidRDefault="00B65027" w:rsidP="00B65027">
      <w:pPr>
        <w:pStyle w:val="BodyText"/>
        <w:jc w:val="both"/>
        <w:rPr>
          <w:rFonts w:asciiTheme="minorHAnsi" w:hAnsiTheme="minorHAnsi" w:cstheme="minorHAnsi"/>
          <w:bCs/>
          <w:sz w:val="22"/>
          <w:szCs w:val="22"/>
          <w:lang w:val="es-VE"/>
        </w:rPr>
      </w:pPr>
      <w:r w:rsidRPr="00DB645B">
        <w:rPr>
          <w:rFonts w:asciiTheme="minorHAnsi" w:hAnsiTheme="minorHAnsi" w:cstheme="minorHAnsi"/>
          <w:bCs/>
          <w:sz w:val="22"/>
          <w:szCs w:val="22"/>
          <w:lang w:val="es-VE"/>
        </w:rPr>
        <w:t xml:space="preserve">Finalmente, las cargas con mayor dificultad de predicción fueron Otros aparatos (Other </w:t>
      </w:r>
      <w:proofErr w:type="spellStart"/>
      <w:r w:rsidRPr="00DB645B">
        <w:rPr>
          <w:rFonts w:asciiTheme="minorHAnsi" w:hAnsiTheme="minorHAnsi" w:cstheme="minorHAnsi"/>
          <w:bCs/>
          <w:sz w:val="22"/>
          <w:szCs w:val="22"/>
          <w:lang w:val="es-VE"/>
        </w:rPr>
        <w:t>electricity</w:t>
      </w:r>
      <w:proofErr w:type="spellEnd"/>
      <w:r w:rsidRPr="00DB645B">
        <w:rPr>
          <w:rFonts w:asciiTheme="minorHAnsi" w:hAnsiTheme="minorHAnsi" w:cstheme="minorHAnsi"/>
          <w:bCs/>
          <w:sz w:val="22"/>
          <w:szCs w:val="22"/>
          <w:lang w:val="es-VE"/>
        </w:rPr>
        <w:t>) y Ventilación, con coeficientes R2 de 0.611 y 0.558 respectivamente.</w:t>
      </w:r>
    </w:p>
    <w:p w14:paraId="5D1FD585" w14:textId="77777777" w:rsidR="00B65027" w:rsidRPr="00DB645B" w:rsidRDefault="00B65027" w:rsidP="00B65027">
      <w:pPr>
        <w:pStyle w:val="BodyText"/>
        <w:jc w:val="both"/>
        <w:rPr>
          <w:rFonts w:asciiTheme="minorHAnsi" w:hAnsiTheme="minorHAnsi" w:cstheme="minorHAnsi"/>
          <w:bCs/>
          <w:sz w:val="22"/>
          <w:szCs w:val="22"/>
          <w:lang w:val="es-VE"/>
        </w:rPr>
      </w:pPr>
      <w:r w:rsidRPr="00DB645B">
        <w:rPr>
          <w:rFonts w:asciiTheme="minorHAnsi" w:hAnsiTheme="minorHAnsi" w:cstheme="minorHAnsi"/>
          <w:bCs/>
          <w:sz w:val="22"/>
          <w:szCs w:val="22"/>
          <w:lang w:val="es-VE"/>
        </w:rPr>
        <w:t xml:space="preserve">Aunque estos valores son los más bajos del experimento actual, representan una mejora sustancial frente a modelos lineales simples o redes sin </w:t>
      </w:r>
      <w:proofErr w:type="spellStart"/>
      <w:r w:rsidRPr="00DB645B">
        <w:rPr>
          <w:rFonts w:asciiTheme="minorHAnsi" w:hAnsiTheme="minorHAnsi" w:cstheme="minorHAnsi"/>
          <w:bCs/>
          <w:sz w:val="22"/>
          <w:szCs w:val="22"/>
          <w:lang w:val="es-VE"/>
        </w:rPr>
        <w:t>pre-procesamiento</w:t>
      </w:r>
      <w:proofErr w:type="spellEnd"/>
      <w:r w:rsidRPr="00DB645B">
        <w:rPr>
          <w:rFonts w:asciiTheme="minorHAnsi" w:hAnsiTheme="minorHAnsi" w:cstheme="minorHAnsi"/>
          <w:bCs/>
          <w:sz w:val="22"/>
          <w:szCs w:val="22"/>
          <w:lang w:val="es-VE"/>
        </w:rPr>
        <w:t xml:space="preserve"> avanzado, indicando que el modelo explica más de la mitad de la variabilidad de estos consumos erráticos. En conclusión, el modelo SVR, potenciado por una limpieza de datos efectiva, demuestra ser una herramienta altamente competente para este problema, aunque se reitera la recomendación de integrar variables meteorológicas exógenas (temperatura exterior) para refinar aún más la precisión en las cargas de climatización (</w:t>
      </w:r>
      <w:proofErr w:type="spellStart"/>
      <w:r w:rsidRPr="00DB645B">
        <w:rPr>
          <w:rFonts w:asciiTheme="minorHAnsi" w:hAnsiTheme="minorHAnsi" w:cstheme="minorHAnsi"/>
          <w:bCs/>
          <w:sz w:val="22"/>
          <w:szCs w:val="22"/>
          <w:lang w:val="es-VE"/>
        </w:rPr>
        <w:t>Heating</w:t>
      </w:r>
      <w:proofErr w:type="spellEnd"/>
      <w:r w:rsidRPr="00DB645B">
        <w:rPr>
          <w:rFonts w:asciiTheme="minorHAnsi" w:hAnsiTheme="minorHAnsi" w:cstheme="minorHAnsi"/>
          <w:bCs/>
          <w:sz w:val="22"/>
          <w:szCs w:val="22"/>
          <w:lang w:val="es-VE"/>
        </w:rPr>
        <w:t xml:space="preserve"> y Cooling), las cuales mostraron una alta sensibilidad a las condiciones ambientales no incluidas explícitamente en el </w:t>
      </w:r>
      <w:proofErr w:type="spellStart"/>
      <w:r w:rsidRPr="00DB645B">
        <w:rPr>
          <w:rFonts w:asciiTheme="minorHAnsi" w:hAnsiTheme="minorHAnsi" w:cstheme="minorHAnsi"/>
          <w:bCs/>
          <w:sz w:val="22"/>
          <w:szCs w:val="22"/>
          <w:lang w:val="es-VE"/>
        </w:rPr>
        <w:t>dataset</w:t>
      </w:r>
      <w:proofErr w:type="spellEnd"/>
      <w:r w:rsidRPr="00DB645B">
        <w:rPr>
          <w:rFonts w:asciiTheme="minorHAnsi" w:hAnsiTheme="minorHAnsi" w:cstheme="minorHAnsi"/>
          <w:bCs/>
          <w:sz w:val="22"/>
          <w:szCs w:val="22"/>
          <w:lang w:val="es-VE"/>
        </w:rPr>
        <w:t>.</w:t>
      </w:r>
    </w:p>
    <w:p w14:paraId="294F31D9" w14:textId="77777777" w:rsidR="00B65027" w:rsidRDefault="00B65027" w:rsidP="00B65027">
      <w:pPr>
        <w:pStyle w:val="BodyText"/>
        <w:jc w:val="both"/>
        <w:rPr>
          <w:rFonts w:asciiTheme="minorHAnsi" w:hAnsiTheme="minorHAnsi" w:cstheme="minorHAnsi"/>
          <w:bCs/>
          <w:sz w:val="22"/>
          <w:szCs w:val="22"/>
          <w:lang w:val="es-VE"/>
        </w:rPr>
      </w:pPr>
      <w:r w:rsidRPr="00DB645B">
        <w:rPr>
          <w:rFonts w:asciiTheme="minorHAnsi" w:hAnsiTheme="minorHAnsi" w:cstheme="minorHAnsi"/>
          <w:bCs/>
          <w:sz w:val="22"/>
          <w:szCs w:val="22"/>
          <w:lang w:val="es-VE"/>
        </w:rPr>
        <w:t>El modelo SVR explica casi el 76% de la variabilidad en el consumo de refrigeración.</w:t>
      </w:r>
      <w:r>
        <w:rPr>
          <w:rFonts w:asciiTheme="minorHAnsi" w:hAnsiTheme="minorHAnsi" w:cstheme="minorHAnsi"/>
          <w:bCs/>
          <w:sz w:val="22"/>
          <w:szCs w:val="22"/>
          <w:lang w:val="es-VE"/>
        </w:rPr>
        <w:t xml:space="preserve"> </w:t>
      </w:r>
      <w:r w:rsidRPr="00DB645B">
        <w:rPr>
          <w:rFonts w:asciiTheme="minorHAnsi" w:hAnsiTheme="minorHAnsi" w:cstheme="minorHAnsi"/>
          <w:bCs/>
          <w:sz w:val="22"/>
          <w:szCs w:val="22"/>
          <w:lang w:val="es-VE"/>
        </w:rPr>
        <w:t>Esto indica que el SVR puede hacer predicciones confiables para esta categoría.</w:t>
      </w:r>
    </w:p>
    <w:p w14:paraId="5E382633" w14:textId="77777777" w:rsidR="00B65027" w:rsidRDefault="00B65027" w:rsidP="00B65027">
      <w:pPr>
        <w:pStyle w:val="BodyText"/>
        <w:jc w:val="both"/>
        <w:rPr>
          <w:rFonts w:asciiTheme="minorHAnsi" w:hAnsiTheme="minorHAnsi" w:cstheme="minorHAnsi"/>
          <w:bCs/>
          <w:sz w:val="22"/>
          <w:szCs w:val="22"/>
          <w:lang w:val="es-VE"/>
        </w:rPr>
      </w:pPr>
    </w:p>
    <w:p w14:paraId="2B1E6099" w14:textId="77777777" w:rsidR="00B65027" w:rsidRPr="004B29E1" w:rsidRDefault="00B65027" w:rsidP="00B65027">
      <w:pPr>
        <w:pStyle w:val="Caption"/>
        <w:jc w:val="center"/>
        <w:rPr>
          <w:rFonts w:asciiTheme="minorHAnsi" w:hAnsiTheme="minorHAnsi" w:cstheme="minorHAnsi"/>
        </w:rPr>
      </w:pPr>
      <w:r w:rsidRPr="004B29E1">
        <w:rPr>
          <w:rFonts w:asciiTheme="minorHAnsi" w:hAnsiTheme="minorHAnsi" w:cstheme="minorHAnsi"/>
          <w:noProof/>
        </w:rPr>
        <w:drawing>
          <wp:inline distT="0" distB="0" distL="0" distR="0" wp14:anchorId="3085B70D" wp14:editId="14CC3A9A">
            <wp:extent cx="4258102" cy="3455747"/>
            <wp:effectExtent l="0" t="0" r="9525" b="0"/>
            <wp:docPr id="16951759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75937" name="Picture 1" descr="A screenshot of a computer program&#10;&#10;AI-generated content may be incorrect."/>
                    <pic:cNvPicPr/>
                  </pic:nvPicPr>
                  <pic:blipFill>
                    <a:blip r:embed="rId4"/>
                    <a:stretch>
                      <a:fillRect/>
                    </a:stretch>
                  </pic:blipFill>
                  <pic:spPr>
                    <a:xfrm>
                      <a:off x="0" y="0"/>
                      <a:ext cx="4268386" cy="3464093"/>
                    </a:xfrm>
                    <a:prstGeom prst="rect">
                      <a:avLst/>
                    </a:prstGeom>
                  </pic:spPr>
                </pic:pic>
              </a:graphicData>
            </a:graphic>
          </wp:inline>
        </w:drawing>
      </w:r>
    </w:p>
    <w:p w14:paraId="476CA0E7" w14:textId="77777777" w:rsidR="00B65027" w:rsidRDefault="00B65027" w:rsidP="00B65027">
      <w:pPr>
        <w:pStyle w:val="Caption"/>
        <w:jc w:val="center"/>
        <w:rPr>
          <w:rFonts w:asciiTheme="minorHAnsi" w:hAnsiTheme="minorHAnsi" w:cstheme="minorHAnsi"/>
        </w:rPr>
      </w:pPr>
      <w:r w:rsidRPr="004B29E1">
        <w:rPr>
          <w:rFonts w:asciiTheme="minorHAnsi" w:hAnsiTheme="minorHAnsi" w:cstheme="minorHAnsi"/>
        </w:rPr>
        <w:t xml:space="preserve">Imagen </w:t>
      </w:r>
      <w:r w:rsidRPr="004B29E1">
        <w:rPr>
          <w:rFonts w:asciiTheme="minorHAnsi" w:hAnsiTheme="minorHAnsi" w:cstheme="minorHAnsi"/>
        </w:rPr>
        <w:fldChar w:fldCharType="begin"/>
      </w:r>
      <w:r w:rsidRPr="004B29E1">
        <w:rPr>
          <w:rFonts w:asciiTheme="minorHAnsi" w:hAnsiTheme="minorHAnsi" w:cstheme="minorHAnsi"/>
        </w:rPr>
        <w:instrText xml:space="preserve"> SEQ Imagen \* ARABIC </w:instrText>
      </w:r>
      <w:r w:rsidRPr="004B29E1">
        <w:rPr>
          <w:rFonts w:asciiTheme="minorHAnsi" w:hAnsiTheme="minorHAnsi" w:cstheme="minorHAnsi"/>
        </w:rPr>
        <w:fldChar w:fldCharType="separate"/>
      </w:r>
      <w:r>
        <w:rPr>
          <w:rFonts w:asciiTheme="minorHAnsi" w:hAnsiTheme="minorHAnsi" w:cstheme="minorHAnsi"/>
          <w:noProof/>
        </w:rPr>
        <w:t>6</w:t>
      </w:r>
      <w:r w:rsidRPr="004B29E1">
        <w:rPr>
          <w:rFonts w:asciiTheme="minorHAnsi" w:hAnsiTheme="minorHAnsi" w:cstheme="minorHAnsi"/>
        </w:rPr>
        <w:fldChar w:fldCharType="end"/>
      </w:r>
      <w:r>
        <w:rPr>
          <w:rFonts w:asciiTheme="minorHAnsi" w:hAnsiTheme="minorHAnsi" w:cstheme="minorHAnsi"/>
        </w:rPr>
        <w:t>. Extracto código Maquinas de soporte vectorial variable Cooling</w:t>
      </w:r>
    </w:p>
    <w:p w14:paraId="2D659729" w14:textId="77777777" w:rsidR="00B65027" w:rsidRDefault="00B65027" w:rsidP="00B65027"/>
    <w:p w14:paraId="2D64C02F" w14:textId="77777777" w:rsidR="00B65027" w:rsidRDefault="00B65027" w:rsidP="00B65027"/>
    <w:p w14:paraId="0D2D9F12" w14:textId="77777777" w:rsidR="00B65027" w:rsidRPr="00FF3D16" w:rsidRDefault="00B65027" w:rsidP="00B65027">
      <w:pPr>
        <w:rPr>
          <w:rFonts w:asciiTheme="minorHAnsi" w:hAnsiTheme="minorHAnsi" w:cstheme="minorHAnsi"/>
          <w:i/>
          <w:iCs/>
          <w:color w:val="0E2841" w:themeColor="text2"/>
          <w:sz w:val="18"/>
          <w:szCs w:val="18"/>
        </w:rPr>
      </w:pPr>
    </w:p>
    <w:p w14:paraId="2A3C40C5" w14:textId="77777777" w:rsidR="00B65027" w:rsidRPr="00FF3D16" w:rsidRDefault="00B65027" w:rsidP="00B65027">
      <w:pPr>
        <w:pStyle w:val="Caption"/>
        <w:keepNext/>
        <w:jc w:val="center"/>
        <w:rPr>
          <w:rFonts w:asciiTheme="minorHAnsi" w:hAnsiTheme="minorHAnsi" w:cstheme="minorHAnsi"/>
        </w:rPr>
      </w:pPr>
      <w:r w:rsidRPr="00FF3D16">
        <w:rPr>
          <w:rFonts w:asciiTheme="minorHAnsi" w:hAnsiTheme="minorHAnsi" w:cstheme="minorHAnsi"/>
        </w:rPr>
        <w:t xml:space="preserve">Tabla </w:t>
      </w:r>
      <w:r w:rsidRPr="00FF3D16">
        <w:rPr>
          <w:rFonts w:asciiTheme="minorHAnsi" w:hAnsiTheme="minorHAnsi" w:cstheme="minorHAnsi"/>
        </w:rPr>
        <w:fldChar w:fldCharType="begin"/>
      </w:r>
      <w:r w:rsidRPr="00FF3D16">
        <w:rPr>
          <w:rFonts w:asciiTheme="minorHAnsi" w:hAnsiTheme="minorHAnsi" w:cstheme="minorHAnsi"/>
        </w:rPr>
        <w:instrText xml:space="preserve"> SEQ Tabla \* ARABIC </w:instrText>
      </w:r>
      <w:r w:rsidRPr="00FF3D16">
        <w:rPr>
          <w:rFonts w:asciiTheme="minorHAnsi" w:hAnsiTheme="minorHAnsi" w:cstheme="minorHAnsi"/>
        </w:rPr>
        <w:fldChar w:fldCharType="separate"/>
      </w:r>
      <w:r>
        <w:rPr>
          <w:rFonts w:asciiTheme="minorHAnsi" w:hAnsiTheme="minorHAnsi" w:cstheme="minorHAnsi"/>
          <w:noProof/>
        </w:rPr>
        <w:t>2</w:t>
      </w:r>
      <w:r w:rsidRPr="00FF3D16">
        <w:rPr>
          <w:rFonts w:asciiTheme="minorHAnsi" w:hAnsiTheme="minorHAnsi" w:cstheme="minorHAnsi"/>
        </w:rPr>
        <w:fldChar w:fldCharType="end"/>
      </w:r>
      <w:r w:rsidRPr="00FF3D16">
        <w:rPr>
          <w:rFonts w:asciiTheme="minorHAnsi" w:hAnsiTheme="minorHAnsi" w:cstheme="minorHAnsi"/>
        </w:rPr>
        <w:t xml:space="preserve"> </w:t>
      </w:r>
      <w:r w:rsidRPr="007B5E05">
        <w:rPr>
          <w:rFonts w:asciiTheme="minorHAnsi" w:hAnsiTheme="minorHAnsi" w:cstheme="minorHAnsi"/>
        </w:rPr>
        <w:t xml:space="preserve">Resultados modelo </w:t>
      </w:r>
      <w:r>
        <w:rPr>
          <w:rFonts w:asciiTheme="minorHAnsi" w:hAnsiTheme="minorHAnsi" w:cstheme="minorHAnsi"/>
        </w:rPr>
        <w:t xml:space="preserve">Bosques </w:t>
      </w:r>
      <w:r w:rsidRPr="00FF3D16">
        <w:rPr>
          <w:rFonts w:asciiTheme="minorHAnsi" w:hAnsiTheme="minorHAnsi" w:cstheme="minorHAnsi"/>
        </w:rPr>
        <w:t>Máquinas de Soporte Vectorial</w:t>
      </w:r>
    </w:p>
    <w:p w14:paraId="648D8720" w14:textId="77777777" w:rsidR="00B65027" w:rsidRDefault="00B65027" w:rsidP="00B65027">
      <w:pPr>
        <w:jc w:val="center"/>
      </w:pPr>
      <w:r w:rsidRPr="00FF3D16">
        <w:rPr>
          <w:noProof/>
        </w:rPr>
        <w:drawing>
          <wp:inline distT="0" distB="0" distL="0" distR="0" wp14:anchorId="79F0E75B" wp14:editId="29E87DDA">
            <wp:extent cx="3098165" cy="1282700"/>
            <wp:effectExtent l="0" t="0" r="6985" b="0"/>
            <wp:docPr id="14792202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8165" cy="1282700"/>
                    </a:xfrm>
                    <a:prstGeom prst="rect">
                      <a:avLst/>
                    </a:prstGeom>
                    <a:noFill/>
                    <a:ln>
                      <a:noFill/>
                    </a:ln>
                  </pic:spPr>
                </pic:pic>
              </a:graphicData>
            </a:graphic>
          </wp:inline>
        </w:drawing>
      </w:r>
    </w:p>
    <w:p w14:paraId="2485D45B" w14:textId="77777777" w:rsidR="00B65027" w:rsidRDefault="00B65027" w:rsidP="00B65027"/>
    <w:p w14:paraId="3D3078F5" w14:textId="77777777" w:rsidR="00B65027" w:rsidRDefault="00B65027" w:rsidP="00B65027"/>
    <w:p w14:paraId="079D16F0" w14:textId="77777777" w:rsidR="00B65027" w:rsidRPr="00FF3D16" w:rsidRDefault="00B65027" w:rsidP="00B65027"/>
    <w:p w14:paraId="329B2DD6" w14:textId="77777777" w:rsidR="00764A61" w:rsidRDefault="00764A61"/>
    <w:sectPr w:rsidR="00764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imbus Roman No9 L">
    <w:altName w:val="Times New Roman"/>
    <w:charset w:val="00"/>
    <w:family w:val="auto"/>
    <w:pitch w:val="default"/>
  </w:font>
  <w:font w:name="DejaVu San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027"/>
    <w:rsid w:val="00117264"/>
    <w:rsid w:val="001877CD"/>
    <w:rsid w:val="002359EB"/>
    <w:rsid w:val="00764A61"/>
    <w:rsid w:val="00851B1B"/>
    <w:rsid w:val="0086150B"/>
    <w:rsid w:val="00B65027"/>
    <w:rsid w:val="00D46564"/>
    <w:rsid w:val="00F85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38AB1"/>
  <w15:chartTrackingRefBased/>
  <w15:docId w15:val="{8FFB3796-EA00-4872-8687-8D73E54A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027"/>
    <w:pPr>
      <w:widowControl w:val="0"/>
      <w:suppressAutoHyphens/>
      <w:spacing w:after="0" w:line="240" w:lineRule="auto"/>
    </w:pPr>
    <w:rPr>
      <w:rFonts w:ascii="Nimbus Roman No9 L" w:eastAsia="Nimbus Roman No9 L" w:hAnsi="Nimbus Roman No9 L" w:cs="DejaVu Sans"/>
      <w:kern w:val="1"/>
      <w:lang w:val="es-CO" w:eastAsia="es-CO"/>
      <w14:ligatures w14:val="none"/>
    </w:rPr>
  </w:style>
  <w:style w:type="paragraph" w:styleId="Heading1">
    <w:name w:val="heading 1"/>
    <w:basedOn w:val="Normal"/>
    <w:next w:val="Normal"/>
    <w:link w:val="Heading1Char"/>
    <w:uiPriority w:val="9"/>
    <w:qFormat/>
    <w:rsid w:val="00B65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5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5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0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0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0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0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5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027"/>
    <w:rPr>
      <w:rFonts w:eastAsiaTheme="majorEastAsia" w:cstheme="majorBidi"/>
      <w:color w:val="272727" w:themeColor="text1" w:themeTint="D8"/>
    </w:rPr>
  </w:style>
  <w:style w:type="paragraph" w:styleId="Title">
    <w:name w:val="Title"/>
    <w:basedOn w:val="Normal"/>
    <w:next w:val="Normal"/>
    <w:link w:val="TitleChar"/>
    <w:uiPriority w:val="10"/>
    <w:qFormat/>
    <w:rsid w:val="00B650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027"/>
    <w:pPr>
      <w:spacing w:before="160"/>
      <w:jc w:val="center"/>
    </w:pPr>
    <w:rPr>
      <w:i/>
      <w:iCs/>
      <w:color w:val="404040" w:themeColor="text1" w:themeTint="BF"/>
    </w:rPr>
  </w:style>
  <w:style w:type="character" w:customStyle="1" w:styleId="QuoteChar">
    <w:name w:val="Quote Char"/>
    <w:basedOn w:val="DefaultParagraphFont"/>
    <w:link w:val="Quote"/>
    <w:uiPriority w:val="29"/>
    <w:rsid w:val="00B65027"/>
    <w:rPr>
      <w:i/>
      <w:iCs/>
      <w:color w:val="404040" w:themeColor="text1" w:themeTint="BF"/>
    </w:rPr>
  </w:style>
  <w:style w:type="paragraph" w:styleId="ListParagraph">
    <w:name w:val="List Paragraph"/>
    <w:basedOn w:val="Normal"/>
    <w:uiPriority w:val="34"/>
    <w:qFormat/>
    <w:rsid w:val="00B65027"/>
    <w:pPr>
      <w:ind w:left="720"/>
      <w:contextualSpacing/>
    </w:pPr>
  </w:style>
  <w:style w:type="character" w:styleId="IntenseEmphasis">
    <w:name w:val="Intense Emphasis"/>
    <w:basedOn w:val="DefaultParagraphFont"/>
    <w:uiPriority w:val="21"/>
    <w:qFormat/>
    <w:rsid w:val="00B65027"/>
    <w:rPr>
      <w:i/>
      <w:iCs/>
      <w:color w:val="0F4761" w:themeColor="accent1" w:themeShade="BF"/>
    </w:rPr>
  </w:style>
  <w:style w:type="paragraph" w:styleId="IntenseQuote">
    <w:name w:val="Intense Quote"/>
    <w:basedOn w:val="Normal"/>
    <w:next w:val="Normal"/>
    <w:link w:val="IntenseQuoteChar"/>
    <w:uiPriority w:val="30"/>
    <w:qFormat/>
    <w:rsid w:val="00B65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027"/>
    <w:rPr>
      <w:i/>
      <w:iCs/>
      <w:color w:val="0F4761" w:themeColor="accent1" w:themeShade="BF"/>
    </w:rPr>
  </w:style>
  <w:style w:type="character" w:styleId="IntenseReference">
    <w:name w:val="Intense Reference"/>
    <w:basedOn w:val="DefaultParagraphFont"/>
    <w:uiPriority w:val="32"/>
    <w:qFormat/>
    <w:rsid w:val="00B65027"/>
    <w:rPr>
      <w:b/>
      <w:bCs/>
      <w:smallCaps/>
      <w:color w:val="0F4761" w:themeColor="accent1" w:themeShade="BF"/>
      <w:spacing w:val="5"/>
    </w:rPr>
  </w:style>
  <w:style w:type="paragraph" w:styleId="BodyText">
    <w:name w:val="Body Text"/>
    <w:basedOn w:val="Normal"/>
    <w:link w:val="BodyTextChar"/>
    <w:uiPriority w:val="99"/>
    <w:rsid w:val="00B65027"/>
    <w:pPr>
      <w:spacing w:after="120"/>
    </w:pPr>
  </w:style>
  <w:style w:type="character" w:customStyle="1" w:styleId="BodyTextChar">
    <w:name w:val="Body Text Char"/>
    <w:basedOn w:val="DefaultParagraphFont"/>
    <w:link w:val="BodyText"/>
    <w:uiPriority w:val="99"/>
    <w:rsid w:val="00B65027"/>
    <w:rPr>
      <w:rFonts w:ascii="Nimbus Roman No9 L" w:eastAsia="Nimbus Roman No9 L" w:hAnsi="Nimbus Roman No9 L" w:cs="DejaVu Sans"/>
      <w:kern w:val="1"/>
      <w:lang w:val="es-CO" w:eastAsia="es-CO"/>
      <w14:ligatures w14:val="none"/>
    </w:rPr>
  </w:style>
  <w:style w:type="paragraph" w:styleId="Caption">
    <w:name w:val="caption"/>
    <w:basedOn w:val="Normal"/>
    <w:next w:val="Normal"/>
    <w:uiPriority w:val="35"/>
    <w:unhideWhenUsed/>
    <w:qFormat/>
    <w:rsid w:val="00B65027"/>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3</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MUNEVAR DIAZ</dc:creator>
  <cp:keywords/>
  <dc:description/>
  <cp:lastModifiedBy>JOSE MUNEVAR DIAZ</cp:lastModifiedBy>
  <cp:revision>2</cp:revision>
  <dcterms:created xsi:type="dcterms:W3CDTF">2026-02-21T14:46:00Z</dcterms:created>
  <dcterms:modified xsi:type="dcterms:W3CDTF">2026-02-21T16:37:00Z</dcterms:modified>
</cp:coreProperties>
</file>