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5E8E2" w14:textId="77777777" w:rsidR="006B2919" w:rsidRDefault="006B2919" w:rsidP="00062758">
      <w:pPr>
        <w:pBdr>
          <w:top w:val="nil"/>
          <w:left w:val="nil"/>
          <w:bottom w:val="nil"/>
          <w:right w:val="nil"/>
          <w:between w:val="nil"/>
        </w:pBdr>
        <w:spacing w:after="0" w:line="240" w:lineRule="auto"/>
        <w:rPr>
          <w:rFonts w:ascii="Arial" w:eastAsia="Arial" w:hAnsi="Arial" w:cs="Arial"/>
          <w:color w:val="000000"/>
          <w:sz w:val="24"/>
          <w:szCs w:val="24"/>
        </w:rPr>
      </w:pPr>
    </w:p>
    <w:p w14:paraId="3025E8E3" w14:textId="77777777" w:rsidR="006B2919" w:rsidRDefault="006B2919">
      <w:pPr>
        <w:pBdr>
          <w:top w:val="nil"/>
          <w:left w:val="nil"/>
          <w:bottom w:val="nil"/>
          <w:right w:val="nil"/>
          <w:between w:val="nil"/>
        </w:pBdr>
        <w:spacing w:after="0" w:line="240" w:lineRule="auto"/>
        <w:rPr>
          <w:rFonts w:ascii="Arial" w:eastAsia="Arial" w:hAnsi="Arial" w:cs="Arial"/>
          <w:color w:val="000000"/>
          <w:sz w:val="24"/>
          <w:szCs w:val="24"/>
        </w:rPr>
      </w:pPr>
    </w:p>
    <w:p w14:paraId="3025E8E4" w14:textId="77777777" w:rsidR="006B2919" w:rsidRDefault="006B2919">
      <w:pPr>
        <w:pBdr>
          <w:top w:val="nil"/>
          <w:left w:val="nil"/>
          <w:bottom w:val="nil"/>
          <w:right w:val="nil"/>
          <w:between w:val="nil"/>
        </w:pBdr>
        <w:spacing w:after="0" w:line="240" w:lineRule="auto"/>
        <w:rPr>
          <w:rFonts w:ascii="Arial" w:eastAsia="Arial" w:hAnsi="Arial" w:cs="Arial"/>
          <w:color w:val="000000"/>
          <w:sz w:val="24"/>
          <w:szCs w:val="24"/>
        </w:rPr>
      </w:pPr>
    </w:p>
    <w:p w14:paraId="3025E8E5"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E6"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E7"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E8"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E9"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EA"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EB"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EC"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ED"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EE"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EF"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F0"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F1" w14:textId="77777777" w:rsidR="006B2919" w:rsidRDefault="006B2919">
      <w:pPr>
        <w:pBdr>
          <w:top w:val="nil"/>
          <w:left w:val="nil"/>
          <w:bottom w:val="nil"/>
          <w:right w:val="nil"/>
          <w:between w:val="nil"/>
        </w:pBdr>
        <w:spacing w:after="0" w:line="360" w:lineRule="auto"/>
        <w:jc w:val="right"/>
        <w:rPr>
          <w:rFonts w:ascii="Arial" w:eastAsia="Arial" w:hAnsi="Arial" w:cs="Arial"/>
          <w:color w:val="000000"/>
          <w:sz w:val="24"/>
          <w:szCs w:val="24"/>
        </w:rPr>
      </w:pPr>
    </w:p>
    <w:p w14:paraId="3025E8F2" w14:textId="77777777" w:rsidR="006B2919" w:rsidRDefault="000E55B5">
      <w:pPr>
        <w:pStyle w:val="Ttulo"/>
        <w:spacing w:line="360" w:lineRule="auto"/>
        <w:jc w:val="right"/>
        <w:rPr>
          <w:rFonts w:ascii="Tahoma" w:eastAsia="Tahoma" w:hAnsi="Tahoma" w:cs="Tahoma"/>
          <w:sz w:val="32"/>
          <w:szCs w:val="32"/>
        </w:rPr>
      </w:pPr>
      <w:r>
        <w:rPr>
          <w:rFonts w:ascii="Tahoma" w:eastAsia="Tahoma" w:hAnsi="Tahoma" w:cs="Tahoma"/>
          <w:sz w:val="32"/>
          <w:szCs w:val="32"/>
        </w:rPr>
        <w:t>DOCUMENTO ENTREGA DESARROLLO</w:t>
      </w:r>
    </w:p>
    <w:p w14:paraId="3025E8F3" w14:textId="6B215624" w:rsidR="006B2919" w:rsidRDefault="00576B4F">
      <w:pPr>
        <w:pStyle w:val="Ttulo"/>
        <w:spacing w:line="360" w:lineRule="auto"/>
        <w:jc w:val="right"/>
        <w:rPr>
          <w:rFonts w:ascii="Tahoma" w:eastAsia="Tahoma" w:hAnsi="Tahoma" w:cs="Tahoma"/>
          <w:sz w:val="24"/>
          <w:szCs w:val="24"/>
        </w:rPr>
      </w:pPr>
      <w:r>
        <w:rPr>
          <w:rFonts w:ascii="Tahoma" w:eastAsia="Tahoma" w:hAnsi="Tahoma" w:cs="Tahoma"/>
          <w:sz w:val="24"/>
          <w:szCs w:val="24"/>
        </w:rPr>
        <w:t>Gestor de Conformidades de Pago</w:t>
      </w:r>
    </w:p>
    <w:p w14:paraId="683BF386" w14:textId="7AA97516" w:rsidR="00F87C29" w:rsidRDefault="000E55B5" w:rsidP="00F87C29">
      <w:pPr>
        <w:pStyle w:val="Ttulo"/>
        <w:spacing w:line="360" w:lineRule="auto"/>
        <w:jc w:val="right"/>
        <w:rPr>
          <w:rFonts w:ascii="Tahoma" w:eastAsia="Tahoma" w:hAnsi="Tahoma" w:cs="Tahoma"/>
          <w:sz w:val="24"/>
          <w:szCs w:val="24"/>
        </w:rPr>
      </w:pPr>
      <w:r>
        <w:rPr>
          <w:rFonts w:ascii="Tahoma" w:eastAsia="Tahoma" w:hAnsi="Tahoma" w:cs="Tahoma"/>
          <w:sz w:val="24"/>
          <w:szCs w:val="24"/>
        </w:rPr>
        <w:t xml:space="preserve">Versión: </w:t>
      </w:r>
      <w:r w:rsidR="00973AA2">
        <w:rPr>
          <w:rFonts w:ascii="Tahoma" w:eastAsia="Tahoma" w:hAnsi="Tahoma" w:cs="Tahoma"/>
          <w:sz w:val="24"/>
          <w:szCs w:val="24"/>
        </w:rPr>
        <w:t>1.0.0</w:t>
      </w:r>
    </w:p>
    <w:p w14:paraId="5EFA598F" w14:textId="70CCF14C" w:rsidR="00F87C29" w:rsidRDefault="00F87C29" w:rsidP="00F87C29">
      <w:pPr>
        <w:pStyle w:val="Ttulo"/>
        <w:spacing w:line="360" w:lineRule="auto"/>
        <w:jc w:val="right"/>
        <w:rPr>
          <w:rFonts w:ascii="Tahoma" w:eastAsia="Tahoma" w:hAnsi="Tahoma" w:cs="Tahoma"/>
          <w:sz w:val="24"/>
          <w:szCs w:val="24"/>
        </w:rPr>
      </w:pPr>
      <w:r>
        <w:rPr>
          <w:rFonts w:ascii="Tahoma" w:eastAsia="Tahoma" w:hAnsi="Tahoma" w:cs="Tahoma"/>
          <w:sz w:val="24"/>
          <w:szCs w:val="24"/>
        </w:rPr>
        <w:t xml:space="preserve">Código: </w:t>
      </w:r>
      <w:r w:rsidR="00973AA2">
        <w:rPr>
          <w:rFonts w:ascii="Tahoma" w:eastAsia="Tahoma" w:hAnsi="Tahoma" w:cs="Tahoma"/>
          <w:sz w:val="24"/>
          <w:szCs w:val="24"/>
        </w:rPr>
        <w:t>G</w:t>
      </w:r>
      <w:r w:rsidR="00576B4F">
        <w:rPr>
          <w:rFonts w:ascii="Tahoma" w:eastAsia="Tahoma" w:hAnsi="Tahoma" w:cs="Tahoma"/>
          <w:sz w:val="24"/>
          <w:szCs w:val="24"/>
        </w:rPr>
        <w:t>CP</w:t>
      </w:r>
      <w:r w:rsidR="00973AA2">
        <w:rPr>
          <w:rFonts w:ascii="Tahoma" w:eastAsia="Tahoma" w:hAnsi="Tahoma" w:cs="Tahoma"/>
          <w:sz w:val="24"/>
          <w:szCs w:val="24"/>
        </w:rPr>
        <w:t>-ED-</w:t>
      </w:r>
      <w:r w:rsidR="00576B4F">
        <w:rPr>
          <w:rFonts w:ascii="Tahoma" w:eastAsia="Tahoma" w:hAnsi="Tahoma" w:cs="Tahoma"/>
          <w:sz w:val="24"/>
          <w:szCs w:val="24"/>
        </w:rPr>
        <w:t>ADM</w:t>
      </w:r>
    </w:p>
    <w:p w14:paraId="3025E8F5"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F6"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F7"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F8"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F9"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FA"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FD"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FE"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FF"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900"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901"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902"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903"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904"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905"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906"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907"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908"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909"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90A"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90B" w14:textId="77777777" w:rsidR="006B2919" w:rsidRDefault="000E55B5">
      <w:pPr>
        <w:pBdr>
          <w:top w:val="nil"/>
          <w:left w:val="nil"/>
          <w:bottom w:val="nil"/>
          <w:right w:val="nil"/>
          <w:between w:val="nil"/>
        </w:pBdr>
        <w:spacing w:after="0" w:line="240" w:lineRule="auto"/>
        <w:rPr>
          <w:rFonts w:ascii="Arial" w:eastAsia="Arial" w:hAnsi="Arial" w:cs="Arial"/>
          <w:b/>
          <w:color w:val="000000"/>
          <w:sz w:val="24"/>
          <w:szCs w:val="24"/>
        </w:rPr>
      </w:pPr>
      <w:r>
        <w:rPr>
          <w:rFonts w:ascii="Arial" w:eastAsia="Arial" w:hAnsi="Arial" w:cs="Arial"/>
          <w:b/>
          <w:color w:val="000000"/>
          <w:sz w:val="24"/>
          <w:szCs w:val="24"/>
        </w:rPr>
        <w:t>HISTORIAL DE REVISIÓN</w:t>
      </w:r>
    </w:p>
    <w:p w14:paraId="3025E90C" w14:textId="77777777" w:rsidR="006B2919" w:rsidRDefault="006B2919">
      <w:pPr>
        <w:pBdr>
          <w:top w:val="nil"/>
          <w:left w:val="nil"/>
          <w:bottom w:val="nil"/>
          <w:right w:val="nil"/>
          <w:between w:val="nil"/>
        </w:pBdr>
        <w:spacing w:after="0" w:line="240" w:lineRule="auto"/>
        <w:rPr>
          <w:rFonts w:ascii="Arial" w:eastAsia="Arial" w:hAnsi="Arial" w:cs="Arial"/>
          <w:color w:val="000000"/>
          <w:sz w:val="24"/>
          <w:szCs w:val="24"/>
        </w:rPr>
      </w:pPr>
    </w:p>
    <w:tbl>
      <w:tblPr>
        <w:tblStyle w:val="a"/>
        <w:tblW w:w="5000"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93"/>
        <w:gridCol w:w="1465"/>
        <w:gridCol w:w="3110"/>
        <w:gridCol w:w="3110"/>
      </w:tblGrid>
      <w:tr w:rsidR="002417B4" w14:paraId="3025E910" w14:textId="306CF092" w:rsidTr="002417B4">
        <w:trPr>
          <w:trHeight w:val="280"/>
          <w:jc w:val="center"/>
        </w:trPr>
        <w:tc>
          <w:tcPr>
            <w:tcW w:w="720" w:type="pct"/>
            <w:vMerge w:val="restart"/>
            <w:shd w:val="clear" w:color="auto" w:fill="CCCCCC"/>
            <w:vAlign w:val="center"/>
          </w:tcPr>
          <w:p w14:paraId="3025E90D" w14:textId="77777777" w:rsidR="002417B4" w:rsidRDefault="002417B4" w:rsidP="00AE7377">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VERSIÓN</w:t>
            </w:r>
          </w:p>
        </w:tc>
        <w:tc>
          <w:tcPr>
            <w:tcW w:w="4280" w:type="pct"/>
            <w:gridSpan w:val="3"/>
            <w:shd w:val="clear" w:color="auto" w:fill="CCCCCC"/>
            <w:vAlign w:val="center"/>
          </w:tcPr>
          <w:p w14:paraId="5E55CCAE" w14:textId="7666B347" w:rsidR="002417B4" w:rsidRDefault="002417B4" w:rsidP="00AE7377">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ELABORACIÓN</w:t>
            </w:r>
          </w:p>
        </w:tc>
      </w:tr>
      <w:tr w:rsidR="002417B4" w14:paraId="3025E916" w14:textId="5737220F" w:rsidTr="002417B4">
        <w:trPr>
          <w:trHeight w:val="300"/>
          <w:jc w:val="center"/>
        </w:trPr>
        <w:tc>
          <w:tcPr>
            <w:tcW w:w="720" w:type="pct"/>
            <w:vMerge/>
            <w:shd w:val="clear" w:color="auto" w:fill="CCCCCC"/>
            <w:vAlign w:val="center"/>
          </w:tcPr>
          <w:p w14:paraId="3025E911" w14:textId="77777777" w:rsidR="002417B4" w:rsidRDefault="002417B4" w:rsidP="00AE7377">
            <w:pPr>
              <w:widowControl w:val="0"/>
              <w:pBdr>
                <w:top w:val="nil"/>
                <w:left w:val="nil"/>
                <w:bottom w:val="nil"/>
                <w:right w:val="nil"/>
                <w:between w:val="nil"/>
              </w:pBdr>
              <w:spacing w:after="0" w:line="276" w:lineRule="auto"/>
              <w:jc w:val="center"/>
              <w:rPr>
                <w:rFonts w:ascii="Arial" w:eastAsia="Arial" w:hAnsi="Arial" w:cs="Arial"/>
                <w:b/>
                <w:color w:val="000000"/>
                <w:sz w:val="18"/>
                <w:szCs w:val="18"/>
              </w:rPr>
            </w:pPr>
          </w:p>
        </w:tc>
        <w:tc>
          <w:tcPr>
            <w:tcW w:w="816" w:type="pct"/>
            <w:shd w:val="clear" w:color="auto" w:fill="CCCCCC"/>
            <w:vAlign w:val="center"/>
          </w:tcPr>
          <w:p w14:paraId="3025E912" w14:textId="77777777" w:rsidR="002417B4" w:rsidRDefault="002417B4" w:rsidP="00AE7377">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Fecha</w:t>
            </w:r>
          </w:p>
        </w:tc>
        <w:tc>
          <w:tcPr>
            <w:tcW w:w="1732" w:type="pct"/>
            <w:shd w:val="clear" w:color="auto" w:fill="CCCCCC"/>
            <w:vAlign w:val="center"/>
          </w:tcPr>
          <w:p w14:paraId="3025E913" w14:textId="77777777" w:rsidR="002417B4" w:rsidRDefault="002417B4" w:rsidP="00AE7377">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Responsable</w:t>
            </w:r>
          </w:p>
        </w:tc>
        <w:tc>
          <w:tcPr>
            <w:tcW w:w="1732" w:type="pct"/>
            <w:shd w:val="clear" w:color="auto" w:fill="CCCCCC"/>
          </w:tcPr>
          <w:p w14:paraId="79228B7D" w14:textId="0BA903DF" w:rsidR="002417B4" w:rsidRDefault="002417B4" w:rsidP="00AE7377">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Firma</w:t>
            </w:r>
          </w:p>
        </w:tc>
      </w:tr>
      <w:tr w:rsidR="007E60AF" w14:paraId="3025E91C" w14:textId="45355D69" w:rsidTr="000774A7">
        <w:trPr>
          <w:trHeight w:val="910"/>
          <w:jc w:val="center"/>
        </w:trPr>
        <w:tc>
          <w:tcPr>
            <w:tcW w:w="720" w:type="pct"/>
            <w:vAlign w:val="center"/>
          </w:tcPr>
          <w:p w14:paraId="3025E917" w14:textId="15322ACC" w:rsidR="007E60AF" w:rsidRDefault="007E60AF" w:rsidP="00AE7377">
            <w:pPr>
              <w:pBdr>
                <w:top w:val="nil"/>
                <w:left w:val="nil"/>
                <w:bottom w:val="nil"/>
                <w:right w:val="nil"/>
                <w:between w:val="nil"/>
              </w:pBdr>
              <w:spacing w:after="0" w:line="240" w:lineRule="auto"/>
              <w:jc w:val="center"/>
              <w:rPr>
                <w:rFonts w:ascii="Arial" w:eastAsia="Arial" w:hAnsi="Arial" w:cs="Arial"/>
                <w:color w:val="000000"/>
                <w:sz w:val="16"/>
                <w:szCs w:val="16"/>
              </w:rPr>
            </w:pPr>
            <w:r>
              <w:rPr>
                <w:rFonts w:ascii="Arial" w:eastAsia="Arial" w:hAnsi="Arial" w:cs="Arial"/>
                <w:color w:val="000000"/>
                <w:sz w:val="16"/>
                <w:szCs w:val="16"/>
              </w:rPr>
              <w:t>1.0.0</w:t>
            </w:r>
          </w:p>
        </w:tc>
        <w:tc>
          <w:tcPr>
            <w:tcW w:w="816" w:type="pct"/>
            <w:vAlign w:val="center"/>
          </w:tcPr>
          <w:p w14:paraId="3025E918" w14:textId="45E8F638" w:rsidR="007E60AF" w:rsidRDefault="007E60AF" w:rsidP="00AE7377">
            <w:pPr>
              <w:pBdr>
                <w:top w:val="nil"/>
                <w:left w:val="nil"/>
                <w:bottom w:val="nil"/>
                <w:right w:val="nil"/>
                <w:between w:val="nil"/>
              </w:pBdr>
              <w:spacing w:after="0" w:line="240" w:lineRule="auto"/>
              <w:jc w:val="center"/>
              <w:rPr>
                <w:rFonts w:ascii="Arial" w:eastAsia="Arial" w:hAnsi="Arial" w:cs="Arial"/>
                <w:color w:val="000000"/>
                <w:sz w:val="16"/>
                <w:szCs w:val="16"/>
              </w:rPr>
            </w:pPr>
            <w:r>
              <w:rPr>
                <w:rFonts w:ascii="Arial" w:eastAsia="Arial" w:hAnsi="Arial" w:cs="Arial"/>
                <w:color w:val="000000"/>
                <w:sz w:val="16"/>
                <w:szCs w:val="16"/>
              </w:rPr>
              <w:t>17/04/2026</w:t>
            </w:r>
          </w:p>
        </w:tc>
        <w:tc>
          <w:tcPr>
            <w:tcW w:w="1732" w:type="pct"/>
            <w:vAlign w:val="center"/>
          </w:tcPr>
          <w:p w14:paraId="3025E919" w14:textId="6BABF175" w:rsidR="007E60AF" w:rsidRDefault="007E60AF" w:rsidP="00AE7377">
            <w:pPr>
              <w:pBdr>
                <w:top w:val="nil"/>
                <w:left w:val="nil"/>
                <w:bottom w:val="nil"/>
                <w:right w:val="nil"/>
                <w:between w:val="nil"/>
              </w:pBdr>
              <w:spacing w:after="0" w:line="240" w:lineRule="auto"/>
              <w:jc w:val="center"/>
              <w:rPr>
                <w:rFonts w:ascii="Arial" w:eastAsia="Arial" w:hAnsi="Arial" w:cs="Arial"/>
                <w:color w:val="000000"/>
                <w:sz w:val="16"/>
                <w:szCs w:val="16"/>
              </w:rPr>
            </w:pPr>
            <w:r w:rsidRPr="00077A31">
              <w:rPr>
                <w:rFonts w:ascii="Arial" w:eastAsia="Arial" w:hAnsi="Arial" w:cs="Arial"/>
                <w:color w:val="000000"/>
                <w:sz w:val="16"/>
                <w:szCs w:val="16"/>
              </w:rPr>
              <w:t>Ivan Alejandro Noriega Llerena</w:t>
            </w:r>
          </w:p>
        </w:tc>
        <w:tc>
          <w:tcPr>
            <w:tcW w:w="1732" w:type="pct"/>
          </w:tcPr>
          <w:p w14:paraId="2B4D5A31" w14:textId="77777777" w:rsidR="007E60AF" w:rsidRPr="00077A31" w:rsidRDefault="007E60AF" w:rsidP="00AE7377">
            <w:pPr>
              <w:pBdr>
                <w:top w:val="nil"/>
                <w:left w:val="nil"/>
                <w:bottom w:val="nil"/>
                <w:right w:val="nil"/>
                <w:between w:val="nil"/>
              </w:pBdr>
              <w:spacing w:after="0" w:line="240" w:lineRule="auto"/>
              <w:jc w:val="center"/>
              <w:rPr>
                <w:rFonts w:ascii="Arial" w:eastAsia="Arial" w:hAnsi="Arial" w:cs="Arial"/>
                <w:color w:val="000000"/>
                <w:sz w:val="16"/>
                <w:szCs w:val="16"/>
              </w:rPr>
            </w:pPr>
          </w:p>
        </w:tc>
      </w:tr>
    </w:tbl>
    <w:p w14:paraId="3025E935" w14:textId="77777777" w:rsidR="006B2919" w:rsidRDefault="006B2919">
      <w:pPr>
        <w:pBdr>
          <w:top w:val="nil"/>
          <w:left w:val="nil"/>
          <w:bottom w:val="nil"/>
          <w:right w:val="nil"/>
          <w:between w:val="nil"/>
        </w:pBdr>
        <w:spacing w:after="0" w:line="240" w:lineRule="auto"/>
        <w:rPr>
          <w:rFonts w:ascii="Arial" w:eastAsia="Arial" w:hAnsi="Arial" w:cs="Arial"/>
          <w:color w:val="000000"/>
          <w:sz w:val="24"/>
          <w:szCs w:val="24"/>
        </w:rPr>
      </w:pPr>
    </w:p>
    <w:p w14:paraId="3025E937" w14:textId="77777777" w:rsidR="006B2919" w:rsidRDefault="006B2919">
      <w:pPr>
        <w:pBdr>
          <w:top w:val="nil"/>
          <w:left w:val="nil"/>
          <w:bottom w:val="nil"/>
          <w:right w:val="nil"/>
          <w:between w:val="nil"/>
        </w:pBdr>
        <w:spacing w:after="0" w:line="240" w:lineRule="auto"/>
        <w:rPr>
          <w:rFonts w:ascii="Arial" w:eastAsia="Arial" w:hAnsi="Arial" w:cs="Arial"/>
          <w:color w:val="000000"/>
          <w:sz w:val="24"/>
          <w:szCs w:val="24"/>
        </w:rPr>
      </w:pPr>
    </w:p>
    <w:p w14:paraId="3025E938" w14:textId="77777777" w:rsidR="006B2919" w:rsidRDefault="000E55B5">
      <w:pPr>
        <w:pBdr>
          <w:top w:val="nil"/>
          <w:left w:val="nil"/>
          <w:bottom w:val="nil"/>
          <w:right w:val="nil"/>
          <w:between w:val="nil"/>
        </w:pBdr>
        <w:spacing w:after="0" w:line="240" w:lineRule="auto"/>
        <w:rPr>
          <w:rFonts w:ascii="Arial" w:eastAsia="Arial" w:hAnsi="Arial" w:cs="Arial"/>
          <w:b/>
          <w:color w:val="000000"/>
          <w:sz w:val="24"/>
          <w:szCs w:val="24"/>
        </w:rPr>
      </w:pPr>
      <w:r>
        <w:rPr>
          <w:rFonts w:ascii="Arial" w:eastAsia="Arial" w:hAnsi="Arial" w:cs="Arial"/>
          <w:b/>
          <w:color w:val="000000"/>
          <w:sz w:val="24"/>
          <w:szCs w:val="24"/>
        </w:rPr>
        <w:t>CAMBIOS RESPECTO A LA VERSIÓN ANTERIOR</w:t>
      </w:r>
    </w:p>
    <w:p w14:paraId="3025E939" w14:textId="77777777" w:rsidR="006B2919" w:rsidRDefault="006B2919">
      <w:pPr>
        <w:pBdr>
          <w:top w:val="nil"/>
          <w:left w:val="nil"/>
          <w:bottom w:val="nil"/>
          <w:right w:val="nil"/>
          <w:between w:val="nil"/>
        </w:pBdr>
        <w:spacing w:after="0" w:line="240" w:lineRule="auto"/>
        <w:rPr>
          <w:rFonts w:ascii="Arial" w:eastAsia="Arial" w:hAnsi="Arial" w:cs="Arial"/>
          <w:b/>
          <w:color w:val="000000"/>
          <w:sz w:val="24"/>
          <w:szCs w:val="24"/>
        </w:rPr>
      </w:pPr>
    </w:p>
    <w:tbl>
      <w:tblPr>
        <w:tblStyle w:val="a0"/>
        <w:tblW w:w="5000" w:type="pct"/>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117"/>
        <w:gridCol w:w="7861"/>
      </w:tblGrid>
      <w:tr w:rsidR="006B2919" w14:paraId="3025E93C" w14:textId="77777777" w:rsidTr="00AE7377">
        <w:trPr>
          <w:jc w:val="center"/>
        </w:trPr>
        <w:tc>
          <w:tcPr>
            <w:tcW w:w="622" w:type="pct"/>
            <w:shd w:val="clear" w:color="auto" w:fill="CCCCCC"/>
            <w:vAlign w:val="center"/>
          </w:tcPr>
          <w:p w14:paraId="3025E93A" w14:textId="77777777" w:rsidR="006B2919" w:rsidRDefault="000E55B5">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VERSIÓN</w:t>
            </w:r>
          </w:p>
        </w:tc>
        <w:tc>
          <w:tcPr>
            <w:tcW w:w="4378" w:type="pct"/>
            <w:shd w:val="clear" w:color="auto" w:fill="CCCCCC"/>
            <w:vAlign w:val="center"/>
          </w:tcPr>
          <w:p w14:paraId="3025E93B" w14:textId="77777777" w:rsidR="006B2919" w:rsidRDefault="000E55B5">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MODIFICACIÓN RESPECTO VERSIÓN ANTERIOR</w:t>
            </w:r>
          </w:p>
        </w:tc>
      </w:tr>
      <w:tr w:rsidR="006B2919" w14:paraId="3025E93F" w14:textId="77777777" w:rsidTr="00AE7377">
        <w:trPr>
          <w:jc w:val="center"/>
        </w:trPr>
        <w:tc>
          <w:tcPr>
            <w:tcW w:w="622" w:type="pct"/>
          </w:tcPr>
          <w:p w14:paraId="3025E93D" w14:textId="77777777" w:rsidR="006B2919" w:rsidRDefault="000E55B5">
            <w:p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16"/>
                <w:szCs w:val="16"/>
              </w:rPr>
              <w:t>1.0</w:t>
            </w:r>
          </w:p>
        </w:tc>
        <w:tc>
          <w:tcPr>
            <w:tcW w:w="4378" w:type="pct"/>
          </w:tcPr>
          <w:p w14:paraId="3025E93E" w14:textId="61710B99" w:rsidR="006B2919" w:rsidRPr="00756EBB" w:rsidRDefault="007D09CA">
            <w:pPr>
              <w:pBdr>
                <w:top w:val="nil"/>
                <w:left w:val="nil"/>
                <w:bottom w:val="nil"/>
                <w:right w:val="nil"/>
                <w:between w:val="nil"/>
              </w:pBdr>
              <w:spacing w:after="0" w:line="240" w:lineRule="auto"/>
              <w:rPr>
                <w:rFonts w:ascii="Arial" w:eastAsia="Arial" w:hAnsi="Arial" w:cs="Arial"/>
                <w:color w:val="000000"/>
                <w:sz w:val="16"/>
                <w:szCs w:val="16"/>
              </w:rPr>
            </w:pPr>
            <w:r w:rsidRPr="00756EBB">
              <w:rPr>
                <w:rFonts w:ascii="Arial" w:eastAsia="Arial" w:hAnsi="Arial" w:cs="Arial"/>
                <w:color w:val="000000"/>
                <w:sz w:val="16"/>
                <w:szCs w:val="16"/>
              </w:rPr>
              <w:t>Creación del documento</w:t>
            </w:r>
          </w:p>
        </w:tc>
      </w:tr>
    </w:tbl>
    <w:p w14:paraId="3025E94F" w14:textId="77777777" w:rsidR="006B2919" w:rsidRDefault="006B2919">
      <w:pPr>
        <w:rPr>
          <w:rFonts w:ascii="Arial" w:eastAsia="Arial" w:hAnsi="Arial" w:cs="Arial"/>
        </w:rPr>
      </w:pPr>
    </w:p>
    <w:p w14:paraId="3025E950" w14:textId="77777777" w:rsidR="006B2919" w:rsidRDefault="000E55B5">
      <w:pPr>
        <w:widowControl w:val="0"/>
        <w:pBdr>
          <w:top w:val="nil"/>
          <w:left w:val="nil"/>
          <w:bottom w:val="nil"/>
          <w:right w:val="nil"/>
          <w:between w:val="nil"/>
        </w:pBdr>
        <w:spacing w:after="0" w:line="276" w:lineRule="auto"/>
        <w:rPr>
          <w:rFonts w:ascii="Arial" w:eastAsia="Arial" w:hAnsi="Arial" w:cs="Arial"/>
        </w:rPr>
        <w:sectPr w:rsidR="006B2919" w:rsidSect="003B58B4">
          <w:headerReference w:type="default" r:id="rId7"/>
          <w:pgSz w:w="12240" w:h="15840"/>
          <w:pgMar w:top="2552" w:right="1701" w:bottom="1560" w:left="1701" w:header="284" w:footer="1134" w:gutter="0"/>
          <w:pgNumType w:start="1"/>
          <w:cols w:space="720"/>
        </w:sectPr>
      </w:pPr>
      <w:r>
        <w:br w:type="page"/>
      </w:r>
    </w:p>
    <w:p w14:paraId="3025E951" w14:textId="77777777" w:rsidR="006B2919" w:rsidRDefault="000E55B5">
      <w:pPr>
        <w:keepNext/>
        <w:keepLines/>
        <w:pBdr>
          <w:top w:val="nil"/>
          <w:left w:val="nil"/>
          <w:bottom w:val="nil"/>
          <w:right w:val="nil"/>
          <w:between w:val="nil"/>
        </w:pBdr>
        <w:spacing w:before="240" w:after="0"/>
        <w:rPr>
          <w:rFonts w:ascii="Arial" w:eastAsia="Arial" w:hAnsi="Arial" w:cs="Arial"/>
          <w:color w:val="000000"/>
          <w:sz w:val="32"/>
          <w:szCs w:val="32"/>
        </w:rPr>
      </w:pPr>
      <w:r>
        <w:rPr>
          <w:rFonts w:ascii="Arial" w:eastAsia="Arial" w:hAnsi="Arial" w:cs="Arial"/>
          <w:color w:val="000000"/>
          <w:sz w:val="32"/>
          <w:szCs w:val="32"/>
        </w:rPr>
        <w:lastRenderedPageBreak/>
        <w:t>Tabla de contenido</w:t>
      </w:r>
    </w:p>
    <w:sdt>
      <w:sdtPr>
        <w:id w:val="359941946"/>
        <w:docPartObj>
          <w:docPartGallery w:val="Table of Contents"/>
          <w:docPartUnique/>
        </w:docPartObj>
      </w:sdtPr>
      <w:sdtEndPr/>
      <w:sdtContent>
        <w:p w14:paraId="7935126B" w14:textId="2BAC194B" w:rsidR="002035D0" w:rsidRDefault="000E55B5">
          <w:pPr>
            <w:pStyle w:val="TDC1"/>
            <w:tabs>
              <w:tab w:val="right" w:pos="8828"/>
            </w:tabs>
            <w:rPr>
              <w:noProof/>
            </w:rPr>
          </w:pPr>
          <w:r>
            <w:fldChar w:fldCharType="begin"/>
          </w:r>
          <w:r>
            <w:instrText xml:space="preserve"> TOC \h \u \z </w:instrText>
          </w:r>
          <w:r>
            <w:fldChar w:fldCharType="separate"/>
          </w:r>
          <w:hyperlink w:anchor="_Toc227149433" w:history="1">
            <w:r w:rsidR="002035D0" w:rsidRPr="00EB3784">
              <w:rPr>
                <w:rStyle w:val="Hipervnculo"/>
                <w:rFonts w:ascii="Arial" w:eastAsia="Arial" w:hAnsi="Arial" w:cs="Arial"/>
                <w:b/>
                <w:noProof/>
              </w:rPr>
              <w:t>1. Datos Entrega</w:t>
            </w:r>
            <w:r w:rsidR="002035D0">
              <w:rPr>
                <w:noProof/>
                <w:webHidden/>
              </w:rPr>
              <w:tab/>
            </w:r>
            <w:r w:rsidR="002035D0">
              <w:rPr>
                <w:noProof/>
                <w:webHidden/>
              </w:rPr>
              <w:fldChar w:fldCharType="begin"/>
            </w:r>
            <w:r w:rsidR="002035D0">
              <w:rPr>
                <w:noProof/>
                <w:webHidden/>
              </w:rPr>
              <w:instrText xml:space="preserve"> PAGEREF _Toc227149433 \h </w:instrText>
            </w:r>
            <w:r w:rsidR="002035D0">
              <w:rPr>
                <w:noProof/>
                <w:webHidden/>
              </w:rPr>
            </w:r>
            <w:r w:rsidR="002035D0">
              <w:rPr>
                <w:noProof/>
                <w:webHidden/>
              </w:rPr>
              <w:fldChar w:fldCharType="separate"/>
            </w:r>
            <w:r w:rsidR="00663541">
              <w:rPr>
                <w:noProof/>
                <w:webHidden/>
              </w:rPr>
              <w:t>4</w:t>
            </w:r>
            <w:r w:rsidR="002035D0">
              <w:rPr>
                <w:noProof/>
                <w:webHidden/>
              </w:rPr>
              <w:fldChar w:fldCharType="end"/>
            </w:r>
          </w:hyperlink>
        </w:p>
        <w:p w14:paraId="04108DE8" w14:textId="24E7CF3C" w:rsidR="002035D0" w:rsidRDefault="000B1092">
          <w:pPr>
            <w:pStyle w:val="TDC1"/>
            <w:tabs>
              <w:tab w:val="right" w:pos="8828"/>
            </w:tabs>
            <w:rPr>
              <w:noProof/>
            </w:rPr>
          </w:pPr>
          <w:hyperlink w:anchor="_Toc227149434" w:history="1">
            <w:r w:rsidR="002035D0" w:rsidRPr="00EB3784">
              <w:rPr>
                <w:rStyle w:val="Hipervnculo"/>
                <w:rFonts w:ascii="Arial" w:eastAsia="Arial" w:hAnsi="Arial" w:cs="Arial"/>
                <w:b/>
                <w:noProof/>
              </w:rPr>
              <w:t>2. Información Funcionalidad</w:t>
            </w:r>
            <w:r w:rsidR="002035D0">
              <w:rPr>
                <w:noProof/>
                <w:webHidden/>
              </w:rPr>
              <w:tab/>
            </w:r>
            <w:r w:rsidR="002035D0">
              <w:rPr>
                <w:noProof/>
                <w:webHidden/>
              </w:rPr>
              <w:fldChar w:fldCharType="begin"/>
            </w:r>
            <w:r w:rsidR="002035D0">
              <w:rPr>
                <w:noProof/>
                <w:webHidden/>
              </w:rPr>
              <w:instrText xml:space="preserve"> PAGEREF _Toc227149434 \h </w:instrText>
            </w:r>
            <w:r w:rsidR="002035D0">
              <w:rPr>
                <w:noProof/>
                <w:webHidden/>
              </w:rPr>
            </w:r>
            <w:r w:rsidR="002035D0">
              <w:rPr>
                <w:noProof/>
                <w:webHidden/>
              </w:rPr>
              <w:fldChar w:fldCharType="separate"/>
            </w:r>
            <w:r w:rsidR="00663541">
              <w:rPr>
                <w:noProof/>
                <w:webHidden/>
              </w:rPr>
              <w:t>4</w:t>
            </w:r>
            <w:r w:rsidR="002035D0">
              <w:rPr>
                <w:noProof/>
                <w:webHidden/>
              </w:rPr>
              <w:fldChar w:fldCharType="end"/>
            </w:r>
          </w:hyperlink>
        </w:p>
        <w:p w14:paraId="0A20BAA7" w14:textId="3D884FC2" w:rsidR="002035D0" w:rsidRDefault="000B1092">
          <w:pPr>
            <w:pStyle w:val="TDC1"/>
            <w:tabs>
              <w:tab w:val="right" w:pos="8828"/>
            </w:tabs>
            <w:rPr>
              <w:noProof/>
            </w:rPr>
          </w:pPr>
          <w:hyperlink w:anchor="_Toc227149435" w:history="1">
            <w:r w:rsidR="002035D0" w:rsidRPr="00EB3784">
              <w:rPr>
                <w:rStyle w:val="Hipervnculo"/>
                <w:rFonts w:ascii="Arial" w:eastAsia="Arial" w:hAnsi="Arial" w:cs="Arial"/>
                <w:b/>
                <w:noProof/>
              </w:rPr>
              <w:t>3. Observaciones</w:t>
            </w:r>
            <w:r w:rsidR="002035D0">
              <w:rPr>
                <w:noProof/>
                <w:webHidden/>
              </w:rPr>
              <w:tab/>
            </w:r>
            <w:r w:rsidR="002035D0">
              <w:rPr>
                <w:noProof/>
                <w:webHidden/>
              </w:rPr>
              <w:fldChar w:fldCharType="begin"/>
            </w:r>
            <w:r w:rsidR="002035D0">
              <w:rPr>
                <w:noProof/>
                <w:webHidden/>
              </w:rPr>
              <w:instrText xml:space="preserve"> PAGEREF _Toc227149435 \h </w:instrText>
            </w:r>
            <w:r w:rsidR="002035D0">
              <w:rPr>
                <w:noProof/>
                <w:webHidden/>
              </w:rPr>
            </w:r>
            <w:r w:rsidR="002035D0">
              <w:rPr>
                <w:noProof/>
                <w:webHidden/>
              </w:rPr>
              <w:fldChar w:fldCharType="separate"/>
            </w:r>
            <w:r w:rsidR="00663541">
              <w:rPr>
                <w:noProof/>
                <w:webHidden/>
              </w:rPr>
              <w:t>7</w:t>
            </w:r>
            <w:r w:rsidR="002035D0">
              <w:rPr>
                <w:noProof/>
                <w:webHidden/>
              </w:rPr>
              <w:fldChar w:fldCharType="end"/>
            </w:r>
          </w:hyperlink>
        </w:p>
        <w:p w14:paraId="3025E956" w14:textId="24A54314" w:rsidR="006B2919" w:rsidRDefault="000E55B5">
          <w:pPr>
            <w:rPr>
              <w:rFonts w:ascii="Arial" w:eastAsia="Arial" w:hAnsi="Arial" w:cs="Arial"/>
            </w:rPr>
          </w:pPr>
          <w:r>
            <w:fldChar w:fldCharType="end"/>
          </w:r>
        </w:p>
      </w:sdtContent>
    </w:sdt>
    <w:p w14:paraId="3025E957"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58"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59"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5A"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5B"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5C"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5D"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5E"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5F"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0"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1"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2"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3"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4"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5"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6"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7"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8"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9"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A"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B"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C"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D"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E"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F"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70" w14:textId="77777777" w:rsidR="00C773AE" w:rsidRDefault="00C773AE">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71" w14:textId="77777777" w:rsidR="00C773AE" w:rsidRDefault="00C773AE">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72" w14:textId="77777777" w:rsidR="00C773AE" w:rsidRDefault="00C773AE">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73" w14:textId="77777777" w:rsidR="00C773AE" w:rsidRDefault="00C773AE">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74" w14:textId="77777777" w:rsidR="00C773AE" w:rsidRDefault="00C773AE">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75" w14:textId="77777777" w:rsidR="00C773AE" w:rsidRDefault="00C773AE">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76"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78" w14:textId="1BC2B017" w:rsidR="006B2919" w:rsidRPr="006A197F" w:rsidRDefault="000E55B5" w:rsidP="006A197F">
      <w:pPr>
        <w:pStyle w:val="Ttulo1"/>
        <w:rPr>
          <w:rFonts w:ascii="Arial" w:eastAsia="Arial" w:hAnsi="Arial" w:cs="Arial"/>
          <w:b/>
          <w:color w:val="000000"/>
          <w:sz w:val="24"/>
          <w:szCs w:val="24"/>
        </w:rPr>
      </w:pPr>
      <w:bookmarkStart w:id="0" w:name="_Toc227149433"/>
      <w:r>
        <w:rPr>
          <w:rFonts w:ascii="Arial" w:eastAsia="Arial" w:hAnsi="Arial" w:cs="Arial"/>
          <w:b/>
          <w:color w:val="000000"/>
          <w:sz w:val="24"/>
          <w:szCs w:val="24"/>
        </w:rPr>
        <w:lastRenderedPageBreak/>
        <w:t>1. Datos Entrega</w:t>
      </w:r>
      <w:bookmarkEnd w:id="0"/>
      <w:r>
        <w:rPr>
          <w:rFonts w:ascii="Arial" w:eastAsia="Arial" w:hAnsi="Arial" w:cs="Arial"/>
          <w:i/>
          <w:color w:val="0000FF"/>
          <w:sz w:val="20"/>
          <w:szCs w:val="20"/>
        </w:rPr>
        <w:br/>
      </w:r>
    </w:p>
    <w:tbl>
      <w:tblPr>
        <w:tblStyle w:val="a1"/>
        <w:tblW w:w="897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6318"/>
      </w:tblGrid>
      <w:tr w:rsidR="006B2919" w14:paraId="3025E97B" w14:textId="77777777">
        <w:tc>
          <w:tcPr>
            <w:tcW w:w="2660" w:type="dxa"/>
          </w:tcPr>
          <w:p w14:paraId="3025E979" w14:textId="77777777" w:rsidR="006B2919" w:rsidRDefault="000E55B5">
            <w:pPr>
              <w:rPr>
                <w:b/>
              </w:rPr>
            </w:pPr>
            <w:r>
              <w:rPr>
                <w:b/>
              </w:rPr>
              <w:t>Proyecto:</w:t>
            </w:r>
          </w:p>
        </w:tc>
        <w:tc>
          <w:tcPr>
            <w:tcW w:w="6318" w:type="dxa"/>
          </w:tcPr>
          <w:p w14:paraId="3025E97A" w14:textId="432D206E" w:rsidR="006B2919" w:rsidRDefault="002B65C2">
            <w:r>
              <w:t xml:space="preserve">Gestor de </w:t>
            </w:r>
            <w:r w:rsidR="00576B4F">
              <w:t>Conformidades de Pago</w:t>
            </w:r>
          </w:p>
        </w:tc>
      </w:tr>
      <w:tr w:rsidR="006B2919" w14:paraId="3025E97E" w14:textId="77777777">
        <w:tc>
          <w:tcPr>
            <w:tcW w:w="2660" w:type="dxa"/>
          </w:tcPr>
          <w:p w14:paraId="3025E97C" w14:textId="77777777" w:rsidR="006B2919" w:rsidRDefault="000E55B5">
            <w:pPr>
              <w:rPr>
                <w:b/>
              </w:rPr>
            </w:pPr>
            <w:r>
              <w:rPr>
                <w:b/>
              </w:rPr>
              <w:t>Modulo:</w:t>
            </w:r>
          </w:p>
        </w:tc>
        <w:tc>
          <w:tcPr>
            <w:tcW w:w="6318" w:type="dxa"/>
          </w:tcPr>
          <w:p w14:paraId="3025E97D" w14:textId="6DD83BA3" w:rsidR="006B2919" w:rsidRDefault="00576B4F">
            <w:r>
              <w:t>Administrador</w:t>
            </w:r>
          </w:p>
        </w:tc>
      </w:tr>
      <w:tr w:rsidR="006B2919" w14:paraId="3025E981" w14:textId="77777777">
        <w:tc>
          <w:tcPr>
            <w:tcW w:w="2660" w:type="dxa"/>
          </w:tcPr>
          <w:p w14:paraId="3025E97F" w14:textId="77777777" w:rsidR="006B2919" w:rsidRDefault="000E55B5">
            <w:pPr>
              <w:rPr>
                <w:b/>
              </w:rPr>
            </w:pPr>
            <w:r>
              <w:rPr>
                <w:b/>
              </w:rPr>
              <w:t>Fecha Entrega:</w:t>
            </w:r>
          </w:p>
        </w:tc>
        <w:tc>
          <w:tcPr>
            <w:tcW w:w="6318" w:type="dxa"/>
          </w:tcPr>
          <w:p w14:paraId="3025E980" w14:textId="05837D5F" w:rsidR="006B2919" w:rsidRDefault="00B915B7">
            <w:r>
              <w:t>1</w:t>
            </w:r>
            <w:r w:rsidR="00590946">
              <w:t>7</w:t>
            </w:r>
            <w:r>
              <w:t>/04/2026</w:t>
            </w:r>
          </w:p>
        </w:tc>
      </w:tr>
      <w:tr w:rsidR="006B2919" w14:paraId="3025E984" w14:textId="77777777">
        <w:tc>
          <w:tcPr>
            <w:tcW w:w="2660" w:type="dxa"/>
          </w:tcPr>
          <w:p w14:paraId="3025E982" w14:textId="77777777" w:rsidR="006B2919" w:rsidRDefault="000E55B5">
            <w:pPr>
              <w:rPr>
                <w:b/>
              </w:rPr>
            </w:pPr>
            <w:r>
              <w:rPr>
                <w:b/>
              </w:rPr>
              <w:t>Responsable de Entrega:</w:t>
            </w:r>
          </w:p>
        </w:tc>
        <w:tc>
          <w:tcPr>
            <w:tcW w:w="6318" w:type="dxa"/>
          </w:tcPr>
          <w:p w14:paraId="3025E983" w14:textId="4FAC18C0" w:rsidR="006B2919" w:rsidRDefault="00B915B7">
            <w:r>
              <w:t>Ivan Alejandro Noriega Llerena</w:t>
            </w:r>
          </w:p>
        </w:tc>
      </w:tr>
    </w:tbl>
    <w:p w14:paraId="3025E98C" w14:textId="77777777" w:rsidR="006B2919" w:rsidRDefault="000E55B5">
      <w:pPr>
        <w:pStyle w:val="Ttulo1"/>
        <w:rPr>
          <w:rFonts w:ascii="Arial" w:eastAsia="Arial" w:hAnsi="Arial" w:cs="Arial"/>
          <w:b/>
          <w:color w:val="000000"/>
          <w:sz w:val="24"/>
          <w:szCs w:val="24"/>
        </w:rPr>
      </w:pPr>
      <w:bookmarkStart w:id="1" w:name="_Toc227149434"/>
      <w:r>
        <w:rPr>
          <w:rFonts w:ascii="Arial" w:eastAsia="Arial" w:hAnsi="Arial" w:cs="Arial"/>
          <w:b/>
          <w:color w:val="000000"/>
          <w:sz w:val="24"/>
          <w:szCs w:val="24"/>
        </w:rPr>
        <w:t>2. Información Funcionalidad</w:t>
      </w:r>
      <w:bookmarkEnd w:id="1"/>
    </w:p>
    <w:p w14:paraId="3B2CC1FB" w14:textId="37B9E3A3" w:rsidR="003A7974" w:rsidRPr="00624582" w:rsidRDefault="003A7974" w:rsidP="00DF7407">
      <w:pPr>
        <w:pStyle w:val="NormalWeb"/>
        <w:jc w:val="both"/>
        <w:rPr>
          <w:rFonts w:ascii="Calibri" w:hAnsi="Calibri" w:cs="Calibri"/>
          <w:sz w:val="22"/>
          <w:szCs w:val="22"/>
        </w:rPr>
      </w:pPr>
      <w:r w:rsidRPr="00624582">
        <w:rPr>
          <w:rFonts w:ascii="Calibri" w:hAnsi="Calibri" w:cs="Calibri"/>
          <w:sz w:val="22"/>
          <w:szCs w:val="22"/>
        </w:rPr>
        <w:t xml:space="preserve">El módulo desarrollado integra un total de </w:t>
      </w:r>
      <w:r w:rsidR="001C4245">
        <w:rPr>
          <w:rFonts w:ascii="Calibri" w:hAnsi="Calibri" w:cs="Calibri"/>
          <w:sz w:val="22"/>
          <w:szCs w:val="22"/>
        </w:rPr>
        <w:t>doce</w:t>
      </w:r>
      <w:r w:rsidRPr="00624582">
        <w:rPr>
          <w:rFonts w:ascii="Calibri" w:hAnsi="Calibri" w:cs="Calibri"/>
          <w:sz w:val="22"/>
          <w:szCs w:val="22"/>
        </w:rPr>
        <w:t xml:space="preserve"> (1</w:t>
      </w:r>
      <w:r w:rsidR="00AA7CF6">
        <w:rPr>
          <w:rFonts w:ascii="Calibri" w:hAnsi="Calibri" w:cs="Calibri"/>
          <w:sz w:val="22"/>
          <w:szCs w:val="22"/>
        </w:rPr>
        <w:t>2</w:t>
      </w:r>
      <w:r w:rsidRPr="00624582">
        <w:rPr>
          <w:rFonts w:ascii="Calibri" w:hAnsi="Calibri" w:cs="Calibri"/>
          <w:sz w:val="22"/>
          <w:szCs w:val="22"/>
        </w:rPr>
        <w:t>) entradas funcionales independientes que, de manera agregada, permiten representar el estado situacional global de los proyectos gestionados. Cada entrada consolida información recolectada desde las fuentes del sistema, la cual es sometida a procesos de validación, transformación y estructuración, para posteriormente ser renderizada conforme a su semántica y criterios de interpretación definidos.</w:t>
      </w:r>
    </w:p>
    <w:p w14:paraId="3F1A8842" w14:textId="77777777" w:rsidR="003A7974" w:rsidRDefault="003A7974" w:rsidP="00DF7407">
      <w:pPr>
        <w:pStyle w:val="NormalWeb"/>
        <w:jc w:val="both"/>
        <w:rPr>
          <w:rFonts w:ascii="Calibri" w:hAnsi="Calibri" w:cs="Calibri"/>
          <w:sz w:val="22"/>
          <w:szCs w:val="22"/>
        </w:rPr>
      </w:pPr>
      <w:r w:rsidRPr="00624582">
        <w:rPr>
          <w:rFonts w:ascii="Calibri" w:hAnsi="Calibri" w:cs="Calibri"/>
          <w:sz w:val="22"/>
          <w:szCs w:val="22"/>
        </w:rPr>
        <w:t>Este enfoque garantiza una visualización coherente, trazable y orientada a la toma de decisiones, al proporcionar indicadores diferenciados según la naturaleza de los datos procesados. A continuación, se presenta la descripción detallada de cada una de estas entradas funcionales.</w:t>
      </w:r>
    </w:p>
    <w:p w14:paraId="0A75BA86" w14:textId="5D0DC453" w:rsidR="00BB5F2D" w:rsidRDefault="00BB5F2D" w:rsidP="00004504">
      <w:pPr>
        <w:pStyle w:val="NormalWeb"/>
        <w:numPr>
          <w:ilvl w:val="0"/>
          <w:numId w:val="2"/>
        </w:numPr>
        <w:jc w:val="both"/>
        <w:rPr>
          <w:rFonts w:ascii="Calibri" w:hAnsi="Calibri" w:cs="Calibri"/>
          <w:sz w:val="22"/>
          <w:szCs w:val="22"/>
        </w:rPr>
      </w:pPr>
      <w:proofErr w:type="gramStart"/>
      <w:r w:rsidRPr="00BB5F2D">
        <w:rPr>
          <w:rFonts w:ascii="Calibri" w:hAnsi="Calibri" w:cs="Calibri"/>
          <w:b/>
          <w:bCs/>
          <w:sz w:val="22"/>
          <w:szCs w:val="22"/>
        </w:rPr>
        <w:t>Total</w:t>
      </w:r>
      <w:proofErr w:type="gramEnd"/>
      <w:r w:rsidRPr="00BB5F2D">
        <w:rPr>
          <w:rFonts w:ascii="Calibri" w:hAnsi="Calibri" w:cs="Calibri"/>
          <w:b/>
          <w:bCs/>
          <w:sz w:val="22"/>
          <w:szCs w:val="22"/>
        </w:rPr>
        <w:t xml:space="preserve"> de Conformidades</w:t>
      </w:r>
      <w:r w:rsidRPr="00BB5F2D">
        <w:rPr>
          <w:rFonts w:ascii="Calibri" w:hAnsi="Calibri" w:cs="Calibri"/>
          <w:sz w:val="22"/>
          <w:szCs w:val="22"/>
        </w:rPr>
        <w:t xml:space="preserve">: Componente tipo </w:t>
      </w:r>
      <w:proofErr w:type="spellStart"/>
      <w:r w:rsidRPr="00BB5F2D">
        <w:rPr>
          <w:rFonts w:ascii="Calibri" w:hAnsi="Calibri" w:cs="Calibri"/>
          <w:sz w:val="22"/>
          <w:szCs w:val="22"/>
        </w:rPr>
        <w:t>card</w:t>
      </w:r>
      <w:proofErr w:type="spellEnd"/>
      <w:r w:rsidRPr="00BB5F2D">
        <w:rPr>
          <w:rFonts w:ascii="Calibri" w:hAnsi="Calibri" w:cs="Calibri"/>
          <w:sz w:val="22"/>
          <w:szCs w:val="22"/>
        </w:rPr>
        <w:t xml:space="preserve"> de carácter informativo que presenta el número total de conformidades registradas en el sistema. Este indicador se obtiene mediante la consolidación de los registros existentes en la base de datos, proporcionando una visualización inmediata del volumen global de conformidades gestionadas.</w:t>
      </w:r>
    </w:p>
    <w:p w14:paraId="5EF5F7BE" w14:textId="29CA98BC" w:rsidR="00696599" w:rsidRPr="00696599" w:rsidRDefault="00696599" w:rsidP="00004504">
      <w:pPr>
        <w:pStyle w:val="Prrafodelista"/>
        <w:numPr>
          <w:ilvl w:val="0"/>
          <w:numId w:val="2"/>
        </w:numPr>
        <w:spacing w:before="100" w:beforeAutospacing="1" w:after="100" w:afterAutospacing="1" w:line="240" w:lineRule="auto"/>
        <w:jc w:val="both"/>
        <w:rPr>
          <w:rFonts w:eastAsia="Times New Roman"/>
          <w:lang w:val="es-ES" w:eastAsia="es-ES"/>
        </w:rPr>
      </w:pPr>
      <w:r w:rsidRPr="00696599">
        <w:rPr>
          <w:rFonts w:eastAsia="Times New Roman"/>
          <w:b/>
          <w:bCs/>
          <w:lang w:val="es-ES" w:eastAsia="es-ES"/>
        </w:rPr>
        <w:t>Conformidades Pagadas:</w:t>
      </w:r>
      <w:r w:rsidRPr="00696599">
        <w:rPr>
          <w:rFonts w:eastAsia="Times New Roman"/>
          <w:lang w:val="es-ES" w:eastAsia="es-ES"/>
        </w:rPr>
        <w:t xml:space="preserve"> Componente tipo </w:t>
      </w:r>
      <w:proofErr w:type="spellStart"/>
      <w:r w:rsidRPr="00004504">
        <w:rPr>
          <w:rFonts w:eastAsia="Times New Roman"/>
          <w:lang w:val="es-ES" w:eastAsia="es-ES"/>
        </w:rPr>
        <w:t>card</w:t>
      </w:r>
      <w:proofErr w:type="spellEnd"/>
      <w:r w:rsidRPr="00696599">
        <w:rPr>
          <w:rFonts w:eastAsia="Times New Roman"/>
          <w:lang w:val="es-ES" w:eastAsia="es-ES"/>
        </w:rPr>
        <w:t xml:space="preserve"> de carácter informativo que presenta el número total de conformidades que han alcanzado el estado de pago dentro del sistema. Este indicador se obtiene a partir de la consolidación de los registros cuya transacción ha sido completada, permitiendo visualizar de forma inmediata el volumen de conformidades efectivamente pagadas.</w:t>
      </w:r>
    </w:p>
    <w:p w14:paraId="02E0190F" w14:textId="4CAA0A76" w:rsidR="009355DB" w:rsidRPr="0030281F" w:rsidRDefault="009355DB" w:rsidP="009355DB">
      <w:pPr>
        <w:pStyle w:val="Prrafodelista"/>
        <w:numPr>
          <w:ilvl w:val="0"/>
          <w:numId w:val="2"/>
        </w:numPr>
        <w:spacing w:before="100" w:beforeAutospacing="1" w:after="100" w:afterAutospacing="1" w:line="240" w:lineRule="auto"/>
        <w:rPr>
          <w:rFonts w:eastAsia="Times New Roman"/>
          <w:lang w:val="es-ES" w:eastAsia="es-ES"/>
        </w:rPr>
      </w:pPr>
      <w:r w:rsidRPr="0030281F">
        <w:rPr>
          <w:rFonts w:eastAsia="Times New Roman"/>
          <w:b/>
          <w:bCs/>
          <w:lang w:val="es-ES" w:eastAsia="es-ES"/>
        </w:rPr>
        <w:t>Conformidades en Proceso:</w:t>
      </w:r>
      <w:r w:rsidRPr="0030281F">
        <w:rPr>
          <w:rFonts w:eastAsia="Times New Roman"/>
          <w:lang w:val="es-ES" w:eastAsia="es-ES"/>
        </w:rPr>
        <w:t xml:space="preserve"> Componente tipo </w:t>
      </w:r>
      <w:proofErr w:type="spellStart"/>
      <w:r w:rsidRPr="0030281F">
        <w:rPr>
          <w:rFonts w:eastAsia="Times New Roman"/>
          <w:lang w:val="es-ES" w:eastAsia="es-ES"/>
        </w:rPr>
        <w:t>card</w:t>
      </w:r>
      <w:proofErr w:type="spellEnd"/>
      <w:r w:rsidRPr="0030281F">
        <w:rPr>
          <w:rFonts w:eastAsia="Times New Roman"/>
          <w:lang w:val="es-ES" w:eastAsia="es-ES"/>
        </w:rPr>
        <w:t xml:space="preserve"> de carácter informativo que presenta el número total de conformidades que se encuentran en estado de tramitación dentro del sistema. Este indicador agrupa aquellas conformidades que aún no han culminado su ciclo operativo, permitiendo visualizar de forma inmediata el volumen de gestión en curso y facilitando el seguimiento del flujo de procesamiento.</w:t>
      </w:r>
    </w:p>
    <w:p w14:paraId="080A2A1C" w14:textId="5B9205AB" w:rsidR="00547F0E" w:rsidRPr="00547F0E" w:rsidRDefault="00547F0E" w:rsidP="00547F0E">
      <w:pPr>
        <w:pStyle w:val="Prrafodelista"/>
        <w:numPr>
          <w:ilvl w:val="0"/>
          <w:numId w:val="2"/>
        </w:numPr>
        <w:spacing w:before="100" w:beforeAutospacing="1" w:after="100" w:afterAutospacing="1" w:line="240" w:lineRule="auto"/>
        <w:rPr>
          <w:rFonts w:eastAsia="Times New Roman"/>
          <w:lang w:val="es-ES" w:eastAsia="es-ES"/>
        </w:rPr>
      </w:pPr>
      <w:r w:rsidRPr="00547F0E">
        <w:rPr>
          <w:rFonts w:eastAsia="Times New Roman"/>
          <w:b/>
          <w:bCs/>
          <w:lang w:val="es-ES" w:eastAsia="es-ES"/>
        </w:rPr>
        <w:t>Conformidades Retrasadas:</w:t>
      </w:r>
      <w:r w:rsidRPr="00547F0E">
        <w:rPr>
          <w:rFonts w:eastAsia="Times New Roman"/>
          <w:lang w:val="es-ES" w:eastAsia="es-ES"/>
        </w:rPr>
        <w:t xml:space="preserve"> Componente tipo </w:t>
      </w:r>
      <w:proofErr w:type="spellStart"/>
      <w:r w:rsidRPr="00547F0E">
        <w:rPr>
          <w:rFonts w:eastAsia="Times New Roman"/>
          <w:lang w:val="es-ES" w:eastAsia="es-ES"/>
        </w:rPr>
        <w:t>card</w:t>
      </w:r>
      <w:proofErr w:type="spellEnd"/>
      <w:r w:rsidRPr="00547F0E">
        <w:rPr>
          <w:rFonts w:eastAsia="Times New Roman"/>
          <w:lang w:val="es-ES" w:eastAsia="es-ES"/>
        </w:rPr>
        <w:t xml:space="preserve"> de carácter informativo que presenta el número total de conformidades que han excedido los plazos establecidos para su atención o tramitación dentro del sistema. Este indicador permite identificar de manera inmediata los casos que presentan desviaciones temporales en su flujo operativo, facilitando el control y la priorización de acciones correctivas en la gestión administrativa.</w:t>
      </w:r>
    </w:p>
    <w:p w14:paraId="3C852653" w14:textId="225583AA" w:rsidR="000D700D" w:rsidRPr="000D700D" w:rsidRDefault="000D700D" w:rsidP="000D700D">
      <w:pPr>
        <w:pStyle w:val="Prrafodelista"/>
        <w:numPr>
          <w:ilvl w:val="0"/>
          <w:numId w:val="2"/>
        </w:numPr>
        <w:spacing w:before="100" w:beforeAutospacing="1" w:after="100" w:afterAutospacing="1" w:line="240" w:lineRule="auto"/>
        <w:rPr>
          <w:rFonts w:eastAsia="Times New Roman"/>
          <w:lang w:val="es-ES" w:eastAsia="es-ES"/>
        </w:rPr>
      </w:pPr>
      <w:r w:rsidRPr="000D700D">
        <w:rPr>
          <w:rFonts w:eastAsia="Times New Roman"/>
          <w:b/>
          <w:bCs/>
          <w:lang w:val="es-ES" w:eastAsia="es-ES"/>
        </w:rPr>
        <w:t>Conformidades Sin Recepción:</w:t>
      </w:r>
      <w:r w:rsidRPr="000D700D">
        <w:rPr>
          <w:rFonts w:eastAsia="Times New Roman"/>
          <w:lang w:val="es-ES" w:eastAsia="es-ES"/>
        </w:rPr>
        <w:t xml:space="preserve"> Componente tipo </w:t>
      </w:r>
      <w:proofErr w:type="spellStart"/>
      <w:r w:rsidRPr="00710E6F">
        <w:rPr>
          <w:rFonts w:eastAsia="Times New Roman"/>
          <w:lang w:val="es-ES" w:eastAsia="es-ES"/>
        </w:rPr>
        <w:t>card</w:t>
      </w:r>
      <w:proofErr w:type="spellEnd"/>
      <w:r w:rsidRPr="000D700D">
        <w:rPr>
          <w:rFonts w:eastAsia="Times New Roman"/>
          <w:lang w:val="es-ES" w:eastAsia="es-ES"/>
        </w:rPr>
        <w:t xml:space="preserve"> de carácter informativo que presenta el número total de conformidades que aún no han sido </w:t>
      </w:r>
      <w:proofErr w:type="spellStart"/>
      <w:r w:rsidRPr="000D700D">
        <w:rPr>
          <w:rFonts w:eastAsia="Times New Roman"/>
          <w:lang w:val="es-ES" w:eastAsia="es-ES"/>
        </w:rPr>
        <w:t>recepcionadas</w:t>
      </w:r>
      <w:proofErr w:type="spellEnd"/>
      <w:r w:rsidRPr="000D700D">
        <w:rPr>
          <w:rFonts w:eastAsia="Times New Roman"/>
          <w:lang w:val="es-ES" w:eastAsia="es-ES"/>
        </w:rPr>
        <w:t xml:space="preserve"> dentro del sistema. Este indicador agrupa aquellos registros que permanecen en estado inicial o </w:t>
      </w:r>
      <w:r w:rsidRPr="000D700D">
        <w:rPr>
          <w:rFonts w:eastAsia="Times New Roman"/>
          <w:lang w:val="es-ES" w:eastAsia="es-ES"/>
        </w:rPr>
        <w:lastRenderedPageBreak/>
        <w:t>pendiente de validación por el área correspondiente, permitiendo identificar el volumen de conformidades que no han ingresado formalmente al flujo operativo.</w:t>
      </w:r>
    </w:p>
    <w:p w14:paraId="3DBF2933" w14:textId="6B1EDA7E" w:rsidR="00C369D1" w:rsidRPr="00710E6F" w:rsidRDefault="00C369D1" w:rsidP="00C369D1">
      <w:pPr>
        <w:pStyle w:val="Prrafodelista"/>
        <w:numPr>
          <w:ilvl w:val="0"/>
          <w:numId w:val="2"/>
        </w:numPr>
        <w:spacing w:before="100" w:beforeAutospacing="1" w:after="100" w:afterAutospacing="1" w:line="240" w:lineRule="auto"/>
        <w:rPr>
          <w:rFonts w:eastAsia="Times New Roman"/>
          <w:lang w:val="es-ES" w:eastAsia="es-ES"/>
        </w:rPr>
      </w:pPr>
      <w:r w:rsidRPr="00710E6F">
        <w:rPr>
          <w:rFonts w:eastAsia="Times New Roman"/>
          <w:b/>
          <w:bCs/>
          <w:lang w:val="es-ES" w:eastAsia="es-ES"/>
        </w:rPr>
        <w:t>Conformidades Canceladas:</w:t>
      </w:r>
      <w:r w:rsidRPr="00710E6F">
        <w:rPr>
          <w:rFonts w:eastAsia="Times New Roman"/>
          <w:lang w:val="es-ES" w:eastAsia="es-ES"/>
        </w:rPr>
        <w:t xml:space="preserve"> Componente tipo </w:t>
      </w:r>
      <w:proofErr w:type="spellStart"/>
      <w:r w:rsidRPr="00710E6F">
        <w:rPr>
          <w:rFonts w:eastAsia="Times New Roman"/>
          <w:lang w:val="es-ES" w:eastAsia="es-ES"/>
        </w:rPr>
        <w:t>card</w:t>
      </w:r>
      <w:proofErr w:type="spellEnd"/>
      <w:r w:rsidRPr="00710E6F">
        <w:rPr>
          <w:rFonts w:eastAsia="Times New Roman"/>
          <w:lang w:val="es-ES" w:eastAsia="es-ES"/>
        </w:rPr>
        <w:t xml:space="preserve"> de carácter informativo que presenta el número total de conformidades que han sido anuladas dentro del sistema. Este indicador agrupa aquellos registros cuyo proceso fue interrumpido de manera definitiva por criterios administrativos u operativos, permitiendo identificar el volumen de conformidades que no continúan dentro del flujo de gestión.</w:t>
      </w:r>
    </w:p>
    <w:p w14:paraId="58DBECFD" w14:textId="16E14A6C" w:rsidR="006A2B67" w:rsidRPr="006A2B67" w:rsidRDefault="006A2B67" w:rsidP="006A2B67">
      <w:pPr>
        <w:pStyle w:val="Prrafodelista"/>
        <w:numPr>
          <w:ilvl w:val="0"/>
          <w:numId w:val="2"/>
        </w:numPr>
        <w:spacing w:before="100" w:beforeAutospacing="1" w:after="100" w:afterAutospacing="1" w:line="240" w:lineRule="auto"/>
        <w:rPr>
          <w:rFonts w:eastAsia="Times New Roman"/>
          <w:lang w:val="es-ES" w:eastAsia="es-ES"/>
        </w:rPr>
      </w:pPr>
      <w:r w:rsidRPr="006A2B67">
        <w:rPr>
          <w:rFonts w:eastAsia="Times New Roman"/>
          <w:b/>
          <w:bCs/>
          <w:lang w:val="es-ES" w:eastAsia="es-ES"/>
        </w:rPr>
        <w:t>Rendimiento Ponderado de Conformidades:</w:t>
      </w:r>
      <w:r w:rsidRPr="006A2B67">
        <w:rPr>
          <w:rFonts w:eastAsia="Times New Roman"/>
          <w:lang w:val="es-ES" w:eastAsia="es-ES"/>
        </w:rPr>
        <w:t xml:space="preserve"> Indicador tipo </w:t>
      </w:r>
      <w:r w:rsidRPr="003A1733">
        <w:rPr>
          <w:rFonts w:eastAsia="Times New Roman"/>
          <w:lang w:val="es-ES" w:eastAsia="es-ES"/>
        </w:rPr>
        <w:t>gauge</w:t>
      </w:r>
      <w:r w:rsidRPr="006A2B67">
        <w:rPr>
          <w:rFonts w:eastAsia="Times New Roman"/>
          <w:i/>
          <w:iCs/>
          <w:lang w:val="es-ES" w:eastAsia="es-ES"/>
        </w:rPr>
        <w:t xml:space="preserve"> </w:t>
      </w:r>
      <w:r w:rsidRPr="003A1733">
        <w:rPr>
          <w:rFonts w:eastAsia="Times New Roman"/>
          <w:lang w:val="es-ES" w:eastAsia="es-ES"/>
        </w:rPr>
        <w:t>control</w:t>
      </w:r>
      <w:r w:rsidRPr="006A2B67">
        <w:rPr>
          <w:rFonts w:eastAsia="Times New Roman"/>
          <w:lang w:val="es-ES" w:eastAsia="es-ES"/>
        </w:rPr>
        <w:t xml:space="preserve"> que representa el desempeño global del flujo de gestión de conformidades, expresado en porcentaje. Este índice se construye mediante un modelo compuesto que evalúa simultáneamente el estado de las conformidades procesadas y el nivel de desviación operativa del sistema.</w:t>
      </w:r>
    </w:p>
    <w:p w14:paraId="081F9748" w14:textId="77777777" w:rsidR="006A2B67" w:rsidRDefault="006A2B67" w:rsidP="003A1733">
      <w:pPr>
        <w:pStyle w:val="Prrafodelista"/>
        <w:spacing w:before="100" w:beforeAutospacing="1" w:after="100" w:afterAutospacing="1" w:line="240" w:lineRule="auto"/>
        <w:rPr>
          <w:rFonts w:eastAsia="Times New Roman"/>
          <w:lang w:val="es-ES" w:eastAsia="es-ES"/>
        </w:rPr>
      </w:pPr>
      <w:r w:rsidRPr="006A2B67">
        <w:rPr>
          <w:rFonts w:eastAsia="Times New Roman"/>
          <w:lang w:val="es-ES" w:eastAsia="es-ES"/>
        </w:rPr>
        <w:t>El cálculo se estructura en dos niveles. El primero corresponde a una evaluación ponderada de los estados principales del flujo operativo: conformidades pagadas, en proceso, retrasadas y canceladas, asignando pesos diferenciados según su impacto en el desempeño global. El segundo nivel incorpora una penalización estructural asociada a las conformidades sin recepción, debido a que representan interrupciones en el inicio del flujo administrativo.</w:t>
      </w:r>
    </w:p>
    <w:p w14:paraId="417D4BD9" w14:textId="6B851D67" w:rsidR="003A1733" w:rsidRPr="006A2B67" w:rsidRDefault="0010204A" w:rsidP="0010204A">
      <w:pPr>
        <w:pStyle w:val="Prrafodelista"/>
        <w:spacing w:before="100" w:beforeAutospacing="1" w:after="100" w:afterAutospacing="1" w:line="240" w:lineRule="auto"/>
        <w:jc w:val="center"/>
        <w:rPr>
          <w:rFonts w:eastAsia="Times New Roman"/>
          <w:lang w:val="es-ES" w:eastAsia="es-ES"/>
        </w:rPr>
      </w:pPr>
      <w:r>
        <w:rPr>
          <w:noProof/>
        </w:rPr>
        <w:drawing>
          <wp:inline distT="0" distB="0" distL="0" distR="0" wp14:anchorId="6CC5FC37" wp14:editId="25209DE6">
            <wp:extent cx="5612130" cy="298450"/>
            <wp:effectExtent l="0" t="0" r="7620" b="6350"/>
            <wp:docPr id="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5612130" cy="298450"/>
                    </a:xfrm>
                    <a:prstGeom prst="rect">
                      <a:avLst/>
                    </a:prstGeom>
                  </pic:spPr>
                </pic:pic>
              </a:graphicData>
            </a:graphic>
          </wp:inline>
        </w:drawing>
      </w:r>
    </w:p>
    <w:p w14:paraId="1F51600C" w14:textId="24AFC4E8" w:rsidR="00BB5F2D" w:rsidRPr="00D3220F" w:rsidRDefault="009932E7" w:rsidP="001240ED">
      <w:pPr>
        <w:pStyle w:val="NormalWeb"/>
        <w:ind w:left="720"/>
        <w:jc w:val="both"/>
        <w:rPr>
          <w:rFonts w:ascii="Calibri" w:hAnsi="Calibri" w:cs="Calibri"/>
          <w:sz w:val="22"/>
          <w:szCs w:val="22"/>
        </w:rPr>
      </w:pPr>
      <w:r w:rsidRPr="00D3220F">
        <w:rPr>
          <w:rFonts w:ascii="Calibri" w:hAnsi="Calibri" w:cs="Calibri"/>
          <w:sz w:val="22"/>
          <w:szCs w:val="22"/>
        </w:rPr>
        <w:t xml:space="preserve">El resultado es posteriormente normalizado al rango de 0 a 100, garantizando consistencia en su interpretación dentro del </w:t>
      </w:r>
      <w:r w:rsidRPr="00D3220F">
        <w:rPr>
          <w:rStyle w:val="nfasis"/>
          <w:rFonts w:ascii="Calibri" w:hAnsi="Calibri" w:cs="Calibri"/>
          <w:sz w:val="22"/>
          <w:szCs w:val="22"/>
        </w:rPr>
        <w:t>gauge</w:t>
      </w:r>
      <w:r w:rsidRPr="00D3220F">
        <w:rPr>
          <w:rFonts w:ascii="Calibri" w:hAnsi="Calibri" w:cs="Calibri"/>
          <w:sz w:val="22"/>
          <w:szCs w:val="22"/>
        </w:rPr>
        <w:t>, el cual permite una lectura inmediata del nivel de eficiencia del sistema mediante umbrales de desempeño.</w:t>
      </w:r>
    </w:p>
    <w:p w14:paraId="496BF931" w14:textId="71AF050E" w:rsidR="00E34165" w:rsidRPr="002251AE" w:rsidRDefault="00E34165" w:rsidP="00E34165">
      <w:pPr>
        <w:pStyle w:val="Prrafodelista"/>
        <w:numPr>
          <w:ilvl w:val="0"/>
          <w:numId w:val="2"/>
        </w:numPr>
        <w:spacing w:before="100" w:beforeAutospacing="1" w:after="100" w:afterAutospacing="1" w:line="240" w:lineRule="auto"/>
        <w:rPr>
          <w:rFonts w:eastAsia="Times New Roman"/>
          <w:lang w:val="es-ES" w:eastAsia="es-ES"/>
        </w:rPr>
      </w:pPr>
      <w:r w:rsidRPr="002251AE">
        <w:rPr>
          <w:rFonts w:eastAsia="Times New Roman"/>
          <w:b/>
          <w:bCs/>
          <w:lang w:val="es-ES" w:eastAsia="es-ES"/>
        </w:rPr>
        <w:t>Distribución de Conformidades:</w:t>
      </w:r>
      <w:r w:rsidRPr="002251AE">
        <w:rPr>
          <w:rFonts w:eastAsia="Times New Roman"/>
          <w:lang w:val="es-ES" w:eastAsia="es-ES"/>
        </w:rPr>
        <w:t xml:space="preserve"> Componente de visualización tipo gráfico </w:t>
      </w:r>
      <w:r w:rsidRPr="002251AE">
        <w:rPr>
          <w:rFonts w:eastAsia="Times New Roman"/>
          <w:i/>
          <w:iCs/>
          <w:lang w:val="es-ES" w:eastAsia="es-ES"/>
        </w:rPr>
        <w:t>donut</w:t>
      </w:r>
      <w:r w:rsidRPr="002251AE">
        <w:rPr>
          <w:rFonts w:eastAsia="Times New Roman"/>
          <w:lang w:val="es-ES" w:eastAsia="es-ES"/>
        </w:rPr>
        <w:t xml:space="preserve"> que representa la composición del total de conformidades según su estado operativo: pagadas, en proceso, retrasadas y canceladas.</w:t>
      </w:r>
    </w:p>
    <w:p w14:paraId="4E43A511" w14:textId="77777777" w:rsidR="00E34165" w:rsidRDefault="00E34165" w:rsidP="002251AE">
      <w:pPr>
        <w:pStyle w:val="Prrafodelista"/>
        <w:spacing w:before="100" w:beforeAutospacing="1" w:after="100" w:afterAutospacing="1" w:line="240" w:lineRule="auto"/>
        <w:rPr>
          <w:rFonts w:eastAsia="Times New Roman"/>
          <w:lang w:val="es-ES" w:eastAsia="es-ES"/>
        </w:rPr>
      </w:pPr>
      <w:r w:rsidRPr="002251AE">
        <w:rPr>
          <w:rFonts w:eastAsia="Times New Roman"/>
          <w:lang w:val="es-ES" w:eastAsia="es-ES"/>
        </w:rPr>
        <w:t>El indicador se construye a partir de la segmentación del universo total de conformidades en categorías mutuamente excluyentes, permitiendo visualizar de forma proporcional la estructura del flujo de gestión. Cada segmento del gráfico refleja la participación relativa de cada estado respecto del total, facilitando la identificación inmediata del nivel de cierre, gestión activa, desviaciones temporales y anulaciones dentro del sistema.</w:t>
      </w:r>
    </w:p>
    <w:p w14:paraId="0FB409ED" w14:textId="12DB2C78" w:rsidR="005C4E2D" w:rsidRPr="002251AE" w:rsidRDefault="005C4E2D" w:rsidP="002251AE">
      <w:pPr>
        <w:pStyle w:val="Prrafodelista"/>
        <w:spacing w:before="100" w:beforeAutospacing="1" w:after="100" w:afterAutospacing="1" w:line="240" w:lineRule="auto"/>
        <w:rPr>
          <w:rFonts w:eastAsia="Times New Roman"/>
          <w:lang w:val="es-ES" w:eastAsia="es-ES"/>
        </w:rPr>
      </w:pPr>
      <w:r w:rsidRPr="005C4E2D">
        <w:rPr>
          <w:rFonts w:eastAsia="Times New Roman"/>
          <w:lang w:val="es-ES" w:eastAsia="es-ES"/>
        </w:rPr>
        <w:t>Este componente permite una lectura inmediata de la salud operativa del sistema de conformidades, evidenciando el grado de avance en la ejecución, la carga en proceso y las incidencias que afectan la continuidad del flujo administrativo.</w:t>
      </w:r>
    </w:p>
    <w:p w14:paraId="1AD6771D" w14:textId="4024B872" w:rsidR="00B427C6" w:rsidRPr="00B31F33" w:rsidRDefault="00B427C6" w:rsidP="00B427C6">
      <w:pPr>
        <w:pStyle w:val="Prrafodelista"/>
        <w:numPr>
          <w:ilvl w:val="0"/>
          <w:numId w:val="2"/>
        </w:numPr>
        <w:spacing w:before="100" w:beforeAutospacing="1" w:after="100" w:afterAutospacing="1" w:line="240" w:lineRule="auto"/>
        <w:rPr>
          <w:rFonts w:eastAsia="Times New Roman"/>
          <w:lang w:val="es-ES" w:eastAsia="es-ES"/>
        </w:rPr>
      </w:pPr>
      <w:r w:rsidRPr="00B31F33">
        <w:rPr>
          <w:rFonts w:eastAsia="Times New Roman"/>
          <w:b/>
          <w:bCs/>
          <w:lang w:val="es-ES" w:eastAsia="es-ES"/>
        </w:rPr>
        <w:t>Actividad por Día:</w:t>
      </w:r>
      <w:r w:rsidRPr="00B31F33">
        <w:rPr>
          <w:rFonts w:eastAsia="Times New Roman"/>
          <w:lang w:val="es-ES" w:eastAsia="es-ES"/>
        </w:rPr>
        <w:t xml:space="preserve"> Componente de visualización tipo gráfico temporal que muestra la cantidad de conformidades registradas por día dentro de un rango de fechas definido por el usuario.</w:t>
      </w:r>
    </w:p>
    <w:p w14:paraId="30A45FF7" w14:textId="77777777" w:rsidR="00B427C6" w:rsidRPr="00B31F33" w:rsidRDefault="00B427C6" w:rsidP="00B31F33">
      <w:pPr>
        <w:pStyle w:val="Prrafodelista"/>
        <w:spacing w:before="100" w:beforeAutospacing="1" w:after="100" w:afterAutospacing="1" w:line="240" w:lineRule="auto"/>
        <w:rPr>
          <w:rFonts w:eastAsia="Times New Roman"/>
          <w:lang w:val="es-ES" w:eastAsia="es-ES"/>
        </w:rPr>
      </w:pPr>
      <w:r w:rsidRPr="00B31F33">
        <w:rPr>
          <w:rFonts w:eastAsia="Times New Roman"/>
          <w:lang w:val="es-ES" w:eastAsia="es-ES"/>
        </w:rPr>
        <w:t>El indicador se construye a partir de la agregación de registros por fecha de creación, permitiendo analizar la evolución del volumen de conformidades en el tiempo. Este enfoque facilita la identificación de picos de actividad, periodos de baja carga operativa y tendencias en el comportamiento del sistema.</w:t>
      </w:r>
    </w:p>
    <w:p w14:paraId="2189E0E7" w14:textId="77777777" w:rsidR="00EF32C3" w:rsidRPr="004C3497" w:rsidRDefault="00EF32C3" w:rsidP="00EF32C3">
      <w:pPr>
        <w:pStyle w:val="Prrafodelista"/>
        <w:numPr>
          <w:ilvl w:val="0"/>
          <w:numId w:val="2"/>
        </w:numPr>
        <w:spacing w:before="100" w:beforeAutospacing="1" w:after="100" w:afterAutospacing="1" w:line="240" w:lineRule="auto"/>
        <w:rPr>
          <w:rFonts w:eastAsia="Times New Roman"/>
          <w:lang w:val="es-ES" w:eastAsia="es-ES"/>
        </w:rPr>
      </w:pPr>
      <w:r w:rsidRPr="004C3497">
        <w:rPr>
          <w:rFonts w:eastAsia="Times New Roman"/>
          <w:b/>
          <w:bCs/>
          <w:lang w:val="es-ES" w:eastAsia="es-ES"/>
        </w:rPr>
        <w:lastRenderedPageBreak/>
        <w:t>Estado de Conformidades por Gerencia:</w:t>
      </w:r>
      <w:r w:rsidRPr="004C3497">
        <w:rPr>
          <w:rFonts w:eastAsia="Times New Roman"/>
          <w:lang w:val="es-ES" w:eastAsia="es-ES"/>
        </w:rPr>
        <w:t xml:space="preserve"> Componente de visualización tipo gráfico de barras horizontales apiladas (</w:t>
      </w:r>
      <w:proofErr w:type="spellStart"/>
      <w:r w:rsidRPr="004C3497">
        <w:rPr>
          <w:rFonts w:eastAsia="Times New Roman"/>
          <w:i/>
          <w:iCs/>
          <w:lang w:val="es-ES" w:eastAsia="es-ES"/>
        </w:rPr>
        <w:t>stacked</w:t>
      </w:r>
      <w:proofErr w:type="spellEnd"/>
      <w:r w:rsidRPr="004C3497">
        <w:rPr>
          <w:rFonts w:eastAsia="Times New Roman"/>
          <w:i/>
          <w:iCs/>
          <w:lang w:val="es-ES" w:eastAsia="es-ES"/>
        </w:rPr>
        <w:t xml:space="preserve"> bar chart</w:t>
      </w:r>
      <w:r w:rsidRPr="004C3497">
        <w:rPr>
          <w:rFonts w:eastAsia="Times New Roman"/>
          <w:lang w:val="es-ES" w:eastAsia="es-ES"/>
        </w:rPr>
        <w:t>) que presenta, para cada gerencia, la distribución de conformidades según su estado operativo: pagadas, en proceso y retrasadas.</w:t>
      </w:r>
    </w:p>
    <w:p w14:paraId="4185C3AD" w14:textId="77777777" w:rsidR="00EF32C3" w:rsidRPr="004C3497" w:rsidRDefault="00EF32C3" w:rsidP="004C3497">
      <w:pPr>
        <w:pStyle w:val="Prrafodelista"/>
        <w:spacing w:before="100" w:beforeAutospacing="1" w:after="100" w:afterAutospacing="1" w:line="240" w:lineRule="auto"/>
        <w:rPr>
          <w:rFonts w:eastAsia="Times New Roman"/>
          <w:lang w:val="es-ES" w:eastAsia="es-ES"/>
        </w:rPr>
      </w:pPr>
      <w:r w:rsidRPr="004C3497">
        <w:rPr>
          <w:rFonts w:eastAsia="Times New Roman"/>
          <w:lang w:val="es-ES" w:eastAsia="es-ES"/>
        </w:rPr>
        <w:t>El indicador se construye a partir de la descomposición del total de conformidades asociadas a cada gerencia en categorías mutuamente excluyentes, lo que permite visualizar simultáneamente el volumen total gestionado y su composición interna por estado. Cada barra representa una gerencia y se encuentra segmentada proporcionalmente según la cantidad de conformidades en cada estado.</w:t>
      </w:r>
    </w:p>
    <w:p w14:paraId="73CA847E" w14:textId="480D9427" w:rsidR="005B3BD3" w:rsidRPr="005B3BD3" w:rsidRDefault="005B3BD3" w:rsidP="005B3BD3">
      <w:pPr>
        <w:pStyle w:val="NormalWeb"/>
        <w:numPr>
          <w:ilvl w:val="0"/>
          <w:numId w:val="2"/>
        </w:numPr>
        <w:rPr>
          <w:rFonts w:ascii="Calibri" w:hAnsi="Calibri" w:cs="Calibri"/>
          <w:sz w:val="22"/>
          <w:szCs w:val="22"/>
        </w:rPr>
      </w:pPr>
      <w:r w:rsidRPr="005B3BD3">
        <w:rPr>
          <w:rStyle w:val="Textoennegrita"/>
          <w:rFonts w:ascii="Calibri" w:hAnsi="Calibri" w:cs="Calibri"/>
          <w:sz w:val="22"/>
          <w:szCs w:val="22"/>
        </w:rPr>
        <w:t>Estado de Áreas Usuarias:</w:t>
      </w:r>
      <w:r w:rsidRPr="005B3BD3">
        <w:rPr>
          <w:rFonts w:ascii="Calibri" w:hAnsi="Calibri" w:cs="Calibri"/>
          <w:sz w:val="22"/>
          <w:szCs w:val="22"/>
        </w:rPr>
        <w:t xml:space="preserve"> Componente de visualización tipo panel de tarjetas (</w:t>
      </w:r>
      <w:proofErr w:type="spellStart"/>
      <w:r w:rsidRPr="005B3BD3">
        <w:rPr>
          <w:rStyle w:val="nfasis"/>
          <w:rFonts w:ascii="Calibri" w:hAnsi="Calibri" w:cs="Calibri"/>
          <w:sz w:val="22"/>
          <w:szCs w:val="22"/>
        </w:rPr>
        <w:t>cards</w:t>
      </w:r>
      <w:proofErr w:type="spellEnd"/>
      <w:r w:rsidRPr="005B3BD3">
        <w:rPr>
          <w:rFonts w:ascii="Calibri" w:hAnsi="Calibri" w:cs="Calibri"/>
          <w:sz w:val="22"/>
          <w:szCs w:val="22"/>
        </w:rPr>
        <w:t>) que presenta un resumen consolidado del desempeño operativo de cada gerencia, basado en indicadores clave de gestión de conformidades.</w:t>
      </w:r>
    </w:p>
    <w:p w14:paraId="3B49D168" w14:textId="77777777" w:rsidR="005B3BD3" w:rsidRPr="005B3BD3" w:rsidRDefault="005B3BD3" w:rsidP="005B3BD3">
      <w:pPr>
        <w:pStyle w:val="NormalWeb"/>
        <w:ind w:left="720"/>
        <w:rPr>
          <w:rFonts w:ascii="Calibri" w:hAnsi="Calibri" w:cs="Calibri"/>
          <w:sz w:val="22"/>
          <w:szCs w:val="22"/>
        </w:rPr>
      </w:pPr>
      <w:r w:rsidRPr="005B3BD3">
        <w:rPr>
          <w:rFonts w:ascii="Calibri" w:hAnsi="Calibri" w:cs="Calibri"/>
          <w:sz w:val="22"/>
          <w:szCs w:val="22"/>
        </w:rPr>
        <w:t>Cada tarjeta corresponde a una gerencia y agrupa métricas estructuradas que describen el comportamiento del flujo de trabajo en sus distintas dimensiones, incluyendo volumen total de conformidades, nivel de carga operativa, distribución por áreas internas y rendimiento global.</w:t>
      </w:r>
    </w:p>
    <w:p w14:paraId="19F35189" w14:textId="77777777" w:rsidR="005B3BD3" w:rsidRPr="005B3BD3" w:rsidRDefault="005B3BD3" w:rsidP="005B3BD3">
      <w:pPr>
        <w:pStyle w:val="NormalWeb"/>
        <w:ind w:firstLine="720"/>
        <w:rPr>
          <w:rFonts w:ascii="Calibri" w:hAnsi="Calibri" w:cs="Calibri"/>
          <w:sz w:val="22"/>
          <w:szCs w:val="22"/>
        </w:rPr>
      </w:pPr>
      <w:r w:rsidRPr="005B3BD3">
        <w:rPr>
          <w:rFonts w:ascii="Calibri" w:hAnsi="Calibri" w:cs="Calibri"/>
          <w:sz w:val="22"/>
          <w:szCs w:val="22"/>
        </w:rPr>
        <w:t>El modelo de presentación se organiza en tres bloques principales:</w:t>
      </w:r>
    </w:p>
    <w:p w14:paraId="268BA493" w14:textId="77777777" w:rsidR="005B3BD3" w:rsidRPr="005B3BD3" w:rsidRDefault="005B3BD3" w:rsidP="005B3BD3">
      <w:pPr>
        <w:pStyle w:val="NormalWeb"/>
        <w:numPr>
          <w:ilvl w:val="0"/>
          <w:numId w:val="3"/>
        </w:numPr>
        <w:rPr>
          <w:rFonts w:ascii="Calibri" w:hAnsi="Calibri" w:cs="Calibri"/>
          <w:sz w:val="22"/>
          <w:szCs w:val="22"/>
        </w:rPr>
      </w:pPr>
      <w:r w:rsidRPr="005B3BD3">
        <w:rPr>
          <w:rStyle w:val="Textoennegrita"/>
          <w:rFonts w:ascii="Calibri" w:hAnsi="Calibri" w:cs="Calibri"/>
          <w:sz w:val="22"/>
          <w:szCs w:val="22"/>
        </w:rPr>
        <w:t>Resumen General:</w:t>
      </w:r>
      <w:r w:rsidRPr="005B3BD3">
        <w:rPr>
          <w:rFonts w:ascii="Calibri" w:hAnsi="Calibri" w:cs="Calibri"/>
          <w:sz w:val="22"/>
          <w:szCs w:val="22"/>
        </w:rPr>
        <w:t xml:space="preserve"> muestra el total de conformidades asociadas a la gerencia y una clasificación cualitativa del estado operativo (por ejemplo, regular, alto o bajo flujo de carga).</w:t>
      </w:r>
    </w:p>
    <w:p w14:paraId="563570E5" w14:textId="77777777" w:rsidR="005B3BD3" w:rsidRPr="005B3BD3" w:rsidRDefault="005B3BD3" w:rsidP="005B3BD3">
      <w:pPr>
        <w:pStyle w:val="NormalWeb"/>
        <w:numPr>
          <w:ilvl w:val="0"/>
          <w:numId w:val="3"/>
        </w:numPr>
        <w:rPr>
          <w:rFonts w:ascii="Calibri" w:hAnsi="Calibri" w:cs="Calibri"/>
          <w:sz w:val="22"/>
          <w:szCs w:val="22"/>
        </w:rPr>
      </w:pPr>
      <w:r w:rsidRPr="005B3BD3">
        <w:rPr>
          <w:rStyle w:val="Textoennegrita"/>
          <w:rFonts w:ascii="Calibri" w:hAnsi="Calibri" w:cs="Calibri"/>
          <w:sz w:val="22"/>
          <w:szCs w:val="22"/>
        </w:rPr>
        <w:t>Flujo de carga activa:</w:t>
      </w:r>
      <w:r w:rsidRPr="005B3BD3">
        <w:rPr>
          <w:rFonts w:ascii="Calibri" w:hAnsi="Calibri" w:cs="Calibri"/>
          <w:sz w:val="22"/>
          <w:szCs w:val="22"/>
        </w:rPr>
        <w:t xml:space="preserve"> desagrega la distribución de conformidades en proceso entre las distintas áreas involucradas (Área usuaria, Administración, Logística, Contabilidad, Tesorería), expresadas en valores absolutos y porcentuales.</w:t>
      </w:r>
    </w:p>
    <w:p w14:paraId="5B38E4B2" w14:textId="77777777" w:rsidR="005B3BD3" w:rsidRPr="005B3BD3" w:rsidRDefault="005B3BD3" w:rsidP="005B3BD3">
      <w:pPr>
        <w:pStyle w:val="NormalWeb"/>
        <w:numPr>
          <w:ilvl w:val="0"/>
          <w:numId w:val="3"/>
        </w:numPr>
        <w:rPr>
          <w:rFonts w:ascii="Calibri" w:hAnsi="Calibri" w:cs="Calibri"/>
          <w:sz w:val="22"/>
          <w:szCs w:val="22"/>
        </w:rPr>
      </w:pPr>
      <w:r w:rsidRPr="005B3BD3">
        <w:rPr>
          <w:rStyle w:val="Textoennegrita"/>
          <w:rFonts w:ascii="Calibri" w:hAnsi="Calibri" w:cs="Calibri"/>
          <w:sz w:val="22"/>
          <w:szCs w:val="22"/>
        </w:rPr>
        <w:t>Flujo de retrasados:</w:t>
      </w:r>
      <w:r w:rsidRPr="005B3BD3">
        <w:rPr>
          <w:rFonts w:ascii="Calibri" w:hAnsi="Calibri" w:cs="Calibri"/>
          <w:sz w:val="22"/>
          <w:szCs w:val="22"/>
        </w:rPr>
        <w:t xml:space="preserve"> presenta la misma descomposición, pero considerando únicamente las conformidades en estado de retraso, permitiendo identificar cuellos de botella operativos.</w:t>
      </w:r>
    </w:p>
    <w:p w14:paraId="30AA62E5" w14:textId="77777777" w:rsidR="005B3BD3" w:rsidRPr="005B3BD3" w:rsidRDefault="005B3BD3" w:rsidP="005B3BD3">
      <w:pPr>
        <w:pStyle w:val="NormalWeb"/>
        <w:numPr>
          <w:ilvl w:val="0"/>
          <w:numId w:val="3"/>
        </w:numPr>
        <w:rPr>
          <w:rFonts w:ascii="Calibri" w:hAnsi="Calibri" w:cs="Calibri"/>
          <w:sz w:val="22"/>
          <w:szCs w:val="22"/>
        </w:rPr>
      </w:pPr>
      <w:r w:rsidRPr="005B3BD3">
        <w:rPr>
          <w:rStyle w:val="Textoennegrita"/>
          <w:rFonts w:ascii="Calibri" w:hAnsi="Calibri" w:cs="Calibri"/>
          <w:sz w:val="22"/>
          <w:szCs w:val="22"/>
        </w:rPr>
        <w:t>Rendimiento:</w:t>
      </w:r>
      <w:r w:rsidRPr="005B3BD3">
        <w:rPr>
          <w:rFonts w:ascii="Calibri" w:hAnsi="Calibri" w:cs="Calibri"/>
          <w:sz w:val="22"/>
          <w:szCs w:val="22"/>
        </w:rPr>
        <w:t xml:space="preserve"> indicador global de desempeño de la gerencia, expresado en porcentaje, derivado de la relación entre cumplimiento, avance y desviaciones del flujo de conformidades.</w:t>
      </w:r>
    </w:p>
    <w:p w14:paraId="1D4FC031" w14:textId="15B6A97A" w:rsidR="001240ED" w:rsidRPr="00657707" w:rsidRDefault="005B3BD3" w:rsidP="00A80C1F">
      <w:pPr>
        <w:pStyle w:val="NormalWeb"/>
        <w:ind w:left="720"/>
        <w:rPr>
          <w:rFonts w:ascii="Calibri" w:hAnsi="Calibri" w:cs="Calibri"/>
          <w:sz w:val="22"/>
          <w:szCs w:val="22"/>
        </w:rPr>
      </w:pPr>
      <w:r w:rsidRPr="005B3BD3">
        <w:rPr>
          <w:rFonts w:ascii="Calibri" w:hAnsi="Calibri" w:cs="Calibri"/>
          <w:sz w:val="22"/>
          <w:szCs w:val="22"/>
        </w:rPr>
        <w:t>Este componente permite una evaluación integral del comportamiento de cada gerencia, combinando volumen, distribución funcional interna y eficiencia operativa, facilitando la identificación de áreas críticas, niveles de carga y oportunidades de mejora en la gestión administrativa.</w:t>
      </w:r>
    </w:p>
    <w:p w14:paraId="3025E9E4" w14:textId="2DE7518C" w:rsidR="006B2919" w:rsidRDefault="000E55B5">
      <w:pPr>
        <w:pStyle w:val="Ttulo1"/>
        <w:rPr>
          <w:rFonts w:ascii="Arial" w:eastAsia="Arial" w:hAnsi="Arial" w:cs="Arial"/>
          <w:b/>
          <w:color w:val="000000"/>
          <w:sz w:val="24"/>
          <w:szCs w:val="24"/>
        </w:rPr>
      </w:pPr>
      <w:bookmarkStart w:id="2" w:name="_Toc227149435"/>
      <w:r>
        <w:rPr>
          <w:rFonts w:ascii="Arial" w:eastAsia="Arial" w:hAnsi="Arial" w:cs="Arial"/>
          <w:b/>
          <w:color w:val="000000"/>
          <w:sz w:val="24"/>
          <w:szCs w:val="24"/>
        </w:rPr>
        <w:lastRenderedPageBreak/>
        <w:t>3. Observaciones</w:t>
      </w:r>
      <w:bookmarkEnd w:id="2"/>
    </w:p>
    <w:p w14:paraId="0BF5AE01" w14:textId="77777777" w:rsidR="002C11A2" w:rsidRDefault="002C11A2" w:rsidP="002C11A2">
      <w:pPr>
        <w:jc w:val="both"/>
      </w:pPr>
      <w:r>
        <w:t>El módulo desarrollado incorpora mecanismos de validación de datos previos a su presentación, garantizando la consistencia y confiabilidad de la información mostrada al usuario. No obstante, eventuales limitaciones en la visualización o ausencia de datos pueden estar asociadas al volumen de información procesada y a las capacidades de visualización del entorno del usuario.</w:t>
      </w:r>
    </w:p>
    <w:p w14:paraId="6B211229" w14:textId="77777777" w:rsidR="002C11A2" w:rsidRDefault="002C11A2" w:rsidP="002C11A2">
      <w:pPr>
        <w:jc w:val="both"/>
        <w:rPr>
          <w:rFonts w:ascii="Arial" w:eastAsia="Arial" w:hAnsi="Arial" w:cs="Arial"/>
          <w:i/>
          <w:color w:val="0000FF"/>
          <w:sz w:val="20"/>
          <w:szCs w:val="20"/>
        </w:rPr>
      </w:pPr>
      <w:r>
        <w:t>En este sentido, se recomienda a los usuarios operar el sistema en entornos con condiciones adecuadas de visualización (resoluciones amplias y dispositivos apropiados), a fin de asegurar una interpretación óptima de los componentes gráficos y tabulares. Asimismo, para escenarios de alta carga de información, se sugiere considerar mecanismos de escalabilidad o segmentación de datos que permitan mantener un rendimiento adecuado y una experiencia de usuario eficiente.</w:t>
      </w:r>
    </w:p>
    <w:sectPr w:rsidR="002C11A2">
      <w:type w:val="continuous"/>
      <w:pgSz w:w="12240" w:h="15840"/>
      <w:pgMar w:top="1418" w:right="1701" w:bottom="1364" w:left="1701" w:header="709"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E9702" w14:textId="77777777" w:rsidR="000B1092" w:rsidRDefault="000B1092">
      <w:pPr>
        <w:spacing w:after="0" w:line="240" w:lineRule="auto"/>
      </w:pPr>
      <w:r>
        <w:separator/>
      </w:r>
    </w:p>
  </w:endnote>
  <w:endnote w:type="continuationSeparator" w:id="0">
    <w:p w14:paraId="0C03B6A8" w14:textId="77777777" w:rsidR="000B1092" w:rsidRDefault="000B1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D58256" w14:textId="77777777" w:rsidR="000B1092" w:rsidRDefault="000B1092">
      <w:pPr>
        <w:spacing w:after="0" w:line="240" w:lineRule="auto"/>
      </w:pPr>
      <w:r>
        <w:separator/>
      </w:r>
    </w:p>
  </w:footnote>
  <w:footnote w:type="continuationSeparator" w:id="0">
    <w:p w14:paraId="394A4AC9" w14:textId="77777777" w:rsidR="000B1092" w:rsidRDefault="000B10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86"/>
      <w:gridCol w:w="732"/>
      <w:gridCol w:w="536"/>
      <w:gridCol w:w="698"/>
      <w:gridCol w:w="1276"/>
      <w:gridCol w:w="916"/>
      <w:gridCol w:w="1777"/>
      <w:gridCol w:w="1433"/>
    </w:tblGrid>
    <w:tr w:rsidR="00062758" w:rsidRPr="009A1ACE" w14:paraId="52973599" w14:textId="77777777" w:rsidTr="00F87C29">
      <w:trPr>
        <w:trHeight w:val="368"/>
      </w:trPr>
      <w:tc>
        <w:tcPr>
          <w:tcW w:w="1686" w:type="dxa"/>
          <w:vMerge w:val="restart"/>
          <w:shd w:val="clear" w:color="auto" w:fill="FFFFFF"/>
          <w:vAlign w:val="center"/>
        </w:tcPr>
        <w:p w14:paraId="52D95D3E" w14:textId="77777777" w:rsidR="00062758" w:rsidRPr="009A1ACE" w:rsidRDefault="00062758" w:rsidP="00F87C29">
          <w:pPr>
            <w:pBdr>
              <w:top w:val="nil"/>
              <w:left w:val="nil"/>
              <w:bottom w:val="nil"/>
              <w:right w:val="nil"/>
              <w:between w:val="nil"/>
            </w:pBdr>
            <w:spacing w:after="0" w:line="240" w:lineRule="auto"/>
            <w:jc w:val="center"/>
            <w:rPr>
              <w:rFonts w:ascii="Times New Roman" w:eastAsia="Tahoma" w:hAnsi="Times New Roman" w:cs="Times New Roman"/>
              <w:b/>
              <w:color w:val="000000"/>
              <w:sz w:val="16"/>
              <w:szCs w:val="16"/>
            </w:rPr>
          </w:pPr>
          <w:r w:rsidRPr="009A1ACE">
            <w:rPr>
              <w:rFonts w:ascii="Times New Roman" w:hAnsi="Times New Roman" w:cs="Times New Roman"/>
              <w:noProof/>
              <w:sz w:val="16"/>
              <w:szCs w:val="16"/>
            </w:rPr>
            <w:drawing>
              <wp:inline distT="0" distB="0" distL="0" distR="0" wp14:anchorId="39C8C4AA" wp14:editId="662D80DA">
                <wp:extent cx="929030" cy="940324"/>
                <wp:effectExtent l="0" t="0" r="4445" b="0"/>
                <wp:docPr id="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50902" name=""/>
                        <pic:cNvPicPr/>
                      </pic:nvPicPr>
                      <pic:blipFill rotWithShape="1">
                        <a:blip r:embed="rId1"/>
                        <a:srcRect l="6725" r="4629"/>
                        <a:stretch>
                          <a:fillRect/>
                        </a:stretch>
                      </pic:blipFill>
                      <pic:spPr bwMode="auto">
                        <a:xfrm>
                          <a:off x="0" y="0"/>
                          <a:ext cx="958037" cy="969683"/>
                        </a:xfrm>
                        <a:prstGeom prst="rect">
                          <a:avLst/>
                        </a:prstGeom>
                        <a:ln>
                          <a:noFill/>
                        </a:ln>
                        <a:extLst>
                          <a:ext uri="{53640926-AAD7-44D8-BBD7-CCE9431645EC}">
                            <a14:shadowObscured xmlns:a14="http://schemas.microsoft.com/office/drawing/2010/main"/>
                          </a:ext>
                        </a:extLst>
                      </pic:spPr>
                    </pic:pic>
                  </a:graphicData>
                </a:graphic>
              </wp:inline>
            </w:drawing>
          </w:r>
        </w:p>
      </w:tc>
      <w:tc>
        <w:tcPr>
          <w:tcW w:w="3242" w:type="dxa"/>
          <w:gridSpan w:val="4"/>
          <w:shd w:val="clear" w:color="auto" w:fill="FFFFFF"/>
          <w:vAlign w:val="center"/>
        </w:tcPr>
        <w:p w14:paraId="77DAF0CE" w14:textId="77777777" w:rsidR="00062758" w:rsidRPr="00864CE4" w:rsidRDefault="00062758" w:rsidP="00F87C29">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imes New Roman" w:eastAsia="Tahoma" w:hAnsi="Times New Roman" w:cs="Times New Roman"/>
              <w:b/>
              <w:i/>
              <w:color w:val="000000"/>
              <w:sz w:val="16"/>
              <w:szCs w:val="16"/>
            </w:rPr>
          </w:pPr>
          <w:r w:rsidRPr="00864CE4">
            <w:rPr>
              <w:rFonts w:ascii="Times New Roman" w:eastAsia="Tahoma" w:hAnsi="Times New Roman" w:cs="Times New Roman"/>
              <w:b/>
              <w:i/>
              <w:color w:val="000000"/>
              <w:sz w:val="16"/>
              <w:szCs w:val="16"/>
            </w:rPr>
            <w:t>Proyecto</w:t>
          </w:r>
        </w:p>
      </w:tc>
      <w:tc>
        <w:tcPr>
          <w:tcW w:w="916" w:type="dxa"/>
          <w:shd w:val="clear" w:color="auto" w:fill="FFFFFF"/>
          <w:vAlign w:val="center"/>
        </w:tcPr>
        <w:p w14:paraId="25551483" w14:textId="77777777" w:rsidR="00062758" w:rsidRPr="00864CE4" w:rsidRDefault="00062758" w:rsidP="00F87C29">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imes New Roman" w:eastAsia="Tahoma" w:hAnsi="Times New Roman" w:cs="Times New Roman"/>
              <w:b/>
              <w:i/>
              <w:color w:val="000000"/>
              <w:sz w:val="16"/>
              <w:szCs w:val="16"/>
            </w:rPr>
          </w:pPr>
          <w:r w:rsidRPr="00864CE4">
            <w:rPr>
              <w:rFonts w:ascii="Times New Roman" w:eastAsia="Tahoma" w:hAnsi="Times New Roman" w:cs="Times New Roman"/>
              <w:b/>
              <w:i/>
              <w:color w:val="000000"/>
              <w:sz w:val="16"/>
              <w:szCs w:val="16"/>
            </w:rPr>
            <w:t>Autor</w:t>
          </w:r>
        </w:p>
      </w:tc>
      <w:tc>
        <w:tcPr>
          <w:tcW w:w="1777" w:type="dxa"/>
          <w:shd w:val="clear" w:color="auto" w:fill="FFFFFF"/>
          <w:vAlign w:val="center"/>
        </w:tcPr>
        <w:p w14:paraId="4C009ADD" w14:textId="77777777" w:rsidR="00062758" w:rsidRPr="005B710E" w:rsidRDefault="00062758" w:rsidP="00F87C29">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imes New Roman" w:eastAsia="Tahoma" w:hAnsi="Times New Roman" w:cs="Times New Roman"/>
              <w:bCs/>
              <w:iCs/>
              <w:color w:val="000000"/>
              <w:sz w:val="16"/>
              <w:szCs w:val="16"/>
            </w:rPr>
          </w:pPr>
          <w:r w:rsidRPr="00903F78">
            <w:rPr>
              <w:rFonts w:ascii="Times New Roman" w:eastAsia="Tahoma" w:hAnsi="Times New Roman" w:cs="Times New Roman"/>
              <w:bCs/>
              <w:iCs/>
              <w:color w:val="000000"/>
              <w:sz w:val="16"/>
              <w:szCs w:val="16"/>
            </w:rPr>
            <w:t xml:space="preserve">Iván </w:t>
          </w:r>
          <w:r w:rsidRPr="005B710E">
            <w:rPr>
              <w:rFonts w:ascii="Times New Roman" w:eastAsia="Tahoma" w:hAnsi="Times New Roman" w:cs="Times New Roman"/>
              <w:bCs/>
              <w:iCs/>
              <w:color w:val="000000"/>
              <w:sz w:val="16"/>
              <w:szCs w:val="16"/>
            </w:rPr>
            <w:t>Alejandro Noriega Llerena</w:t>
          </w:r>
        </w:p>
      </w:tc>
      <w:tc>
        <w:tcPr>
          <w:tcW w:w="1433" w:type="dxa"/>
          <w:vMerge w:val="restart"/>
          <w:shd w:val="clear" w:color="auto" w:fill="FFFFFF"/>
          <w:vAlign w:val="center"/>
        </w:tcPr>
        <w:p w14:paraId="4E41EFBE" w14:textId="66F379BE" w:rsidR="00062758" w:rsidRPr="00864CE4" w:rsidRDefault="00062758" w:rsidP="00F87C29">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imes New Roman" w:eastAsia="Tahoma" w:hAnsi="Times New Roman" w:cs="Times New Roman"/>
              <w:b/>
              <w:i/>
              <w:color w:val="000000"/>
              <w:sz w:val="16"/>
              <w:szCs w:val="16"/>
            </w:rPr>
          </w:pPr>
          <w:r w:rsidRPr="00864CE4">
            <w:rPr>
              <w:rFonts w:ascii="Times New Roman" w:eastAsia="Tahoma" w:hAnsi="Times New Roman" w:cs="Times New Roman"/>
              <w:b/>
              <w:i/>
              <w:color w:val="000000"/>
              <w:sz w:val="16"/>
              <w:szCs w:val="16"/>
            </w:rPr>
            <w:t xml:space="preserve">Página </w:t>
          </w:r>
          <w:r w:rsidRPr="00864CE4">
            <w:rPr>
              <w:rFonts w:ascii="Times New Roman" w:eastAsia="Tahoma" w:hAnsi="Times New Roman" w:cs="Times New Roman"/>
              <w:b/>
              <w:i/>
              <w:color w:val="000000"/>
              <w:sz w:val="16"/>
              <w:szCs w:val="16"/>
            </w:rPr>
            <w:fldChar w:fldCharType="begin"/>
          </w:r>
          <w:r w:rsidRPr="00864CE4">
            <w:rPr>
              <w:rFonts w:ascii="Times New Roman" w:eastAsia="Tahoma" w:hAnsi="Times New Roman" w:cs="Times New Roman"/>
              <w:b/>
              <w:i/>
              <w:color w:val="000000"/>
              <w:sz w:val="16"/>
              <w:szCs w:val="16"/>
            </w:rPr>
            <w:instrText>PAGE  \* Arabic  \* MERGEFORMAT</w:instrText>
          </w:r>
          <w:r w:rsidRPr="00864CE4">
            <w:rPr>
              <w:rFonts w:ascii="Times New Roman" w:eastAsia="Tahoma" w:hAnsi="Times New Roman" w:cs="Times New Roman"/>
              <w:b/>
              <w:i/>
              <w:color w:val="000000"/>
              <w:sz w:val="16"/>
              <w:szCs w:val="16"/>
            </w:rPr>
            <w:fldChar w:fldCharType="separate"/>
          </w:r>
          <w:r w:rsidRPr="00864CE4">
            <w:rPr>
              <w:rFonts w:ascii="Times New Roman" w:eastAsia="Tahoma" w:hAnsi="Times New Roman" w:cs="Times New Roman"/>
              <w:b/>
              <w:i/>
              <w:color w:val="000000"/>
              <w:sz w:val="16"/>
              <w:szCs w:val="16"/>
            </w:rPr>
            <w:t>1</w:t>
          </w:r>
          <w:r w:rsidRPr="00864CE4">
            <w:rPr>
              <w:rFonts w:ascii="Times New Roman" w:eastAsia="Tahoma" w:hAnsi="Times New Roman" w:cs="Times New Roman"/>
              <w:b/>
              <w:i/>
              <w:color w:val="000000"/>
              <w:sz w:val="16"/>
              <w:szCs w:val="16"/>
            </w:rPr>
            <w:fldChar w:fldCharType="end"/>
          </w:r>
          <w:r w:rsidRPr="00864CE4">
            <w:rPr>
              <w:rFonts w:ascii="Times New Roman" w:eastAsia="Tahoma" w:hAnsi="Times New Roman" w:cs="Times New Roman"/>
              <w:b/>
              <w:i/>
              <w:color w:val="000000"/>
              <w:sz w:val="16"/>
              <w:szCs w:val="16"/>
            </w:rPr>
            <w:t xml:space="preserve"> de </w:t>
          </w:r>
          <w:r w:rsidRPr="00864CE4">
            <w:rPr>
              <w:rFonts w:ascii="Times New Roman" w:eastAsia="Tahoma" w:hAnsi="Times New Roman" w:cs="Times New Roman"/>
              <w:b/>
              <w:i/>
              <w:color w:val="000000"/>
              <w:sz w:val="16"/>
              <w:szCs w:val="16"/>
            </w:rPr>
            <w:fldChar w:fldCharType="begin"/>
          </w:r>
          <w:r w:rsidRPr="00864CE4">
            <w:rPr>
              <w:rFonts w:ascii="Times New Roman" w:eastAsia="Tahoma" w:hAnsi="Times New Roman" w:cs="Times New Roman"/>
              <w:b/>
              <w:i/>
              <w:color w:val="000000"/>
              <w:sz w:val="16"/>
              <w:szCs w:val="16"/>
            </w:rPr>
            <w:instrText>NUMPAGES  \* Arabic  \* MERGEFORMAT</w:instrText>
          </w:r>
          <w:r w:rsidRPr="00864CE4">
            <w:rPr>
              <w:rFonts w:ascii="Times New Roman" w:eastAsia="Tahoma" w:hAnsi="Times New Roman" w:cs="Times New Roman"/>
              <w:b/>
              <w:i/>
              <w:color w:val="000000"/>
              <w:sz w:val="16"/>
              <w:szCs w:val="16"/>
            </w:rPr>
            <w:fldChar w:fldCharType="separate"/>
          </w:r>
          <w:r w:rsidRPr="00864CE4">
            <w:rPr>
              <w:rFonts w:ascii="Times New Roman" w:eastAsia="Tahoma" w:hAnsi="Times New Roman" w:cs="Times New Roman"/>
              <w:b/>
              <w:i/>
              <w:color w:val="000000"/>
              <w:sz w:val="16"/>
              <w:szCs w:val="16"/>
            </w:rPr>
            <w:t>2</w:t>
          </w:r>
          <w:r w:rsidRPr="00864CE4">
            <w:rPr>
              <w:rFonts w:ascii="Times New Roman" w:eastAsia="Tahoma" w:hAnsi="Times New Roman" w:cs="Times New Roman"/>
              <w:b/>
              <w:i/>
              <w:color w:val="000000"/>
              <w:sz w:val="16"/>
              <w:szCs w:val="16"/>
            </w:rPr>
            <w:fldChar w:fldCharType="end"/>
          </w:r>
        </w:p>
      </w:tc>
    </w:tr>
    <w:tr w:rsidR="00062758" w:rsidRPr="009A1ACE" w14:paraId="4A2FEB43" w14:textId="77777777" w:rsidTr="00F87C29">
      <w:trPr>
        <w:trHeight w:val="368"/>
      </w:trPr>
      <w:tc>
        <w:tcPr>
          <w:tcW w:w="1686" w:type="dxa"/>
          <w:vMerge/>
          <w:shd w:val="clear" w:color="auto" w:fill="FFFFFF"/>
          <w:vAlign w:val="center"/>
        </w:tcPr>
        <w:p w14:paraId="0DF005CD" w14:textId="77777777" w:rsidR="00062758" w:rsidRPr="009A1ACE" w:rsidRDefault="00062758" w:rsidP="00F87C29">
          <w:pPr>
            <w:pBdr>
              <w:top w:val="nil"/>
              <w:left w:val="nil"/>
              <w:bottom w:val="nil"/>
              <w:right w:val="nil"/>
              <w:between w:val="nil"/>
            </w:pBdr>
            <w:tabs>
              <w:tab w:val="center" w:pos="4252"/>
              <w:tab w:val="right" w:pos="8504"/>
            </w:tabs>
            <w:spacing w:after="0" w:line="240" w:lineRule="auto"/>
            <w:ind w:left="71" w:hanging="71"/>
            <w:jc w:val="center"/>
            <w:rPr>
              <w:rFonts w:ascii="Times New Roman" w:eastAsia="Tahoma" w:hAnsi="Times New Roman" w:cs="Times New Roman"/>
              <w:color w:val="000000"/>
              <w:sz w:val="16"/>
              <w:szCs w:val="16"/>
            </w:rPr>
          </w:pPr>
        </w:p>
      </w:tc>
      <w:tc>
        <w:tcPr>
          <w:tcW w:w="3242" w:type="dxa"/>
          <w:gridSpan w:val="4"/>
          <w:vMerge w:val="restart"/>
          <w:shd w:val="clear" w:color="auto" w:fill="FFFFFF"/>
          <w:vAlign w:val="center"/>
        </w:tcPr>
        <w:p w14:paraId="4C1B4D6F" w14:textId="05757429" w:rsidR="00062758" w:rsidRPr="005B710E" w:rsidRDefault="00062758" w:rsidP="00F87C29">
          <w:pPr>
            <w:pBdr>
              <w:top w:val="nil"/>
              <w:left w:val="nil"/>
              <w:bottom w:val="nil"/>
              <w:right w:val="nil"/>
              <w:between w:val="nil"/>
            </w:pBdr>
            <w:tabs>
              <w:tab w:val="center" w:pos="4252"/>
              <w:tab w:val="right" w:pos="8504"/>
            </w:tabs>
            <w:spacing w:after="0" w:line="240" w:lineRule="auto"/>
            <w:ind w:left="71" w:hanging="71"/>
            <w:jc w:val="center"/>
            <w:rPr>
              <w:rFonts w:ascii="Times New Roman" w:eastAsia="Tahoma" w:hAnsi="Times New Roman" w:cs="Times New Roman"/>
              <w:b/>
              <w:iCs/>
              <w:color w:val="000000"/>
              <w:sz w:val="16"/>
              <w:szCs w:val="16"/>
            </w:rPr>
          </w:pPr>
          <w:r w:rsidRPr="005B710E">
            <w:rPr>
              <w:rFonts w:ascii="Times New Roman" w:eastAsia="Tahoma" w:hAnsi="Times New Roman" w:cs="Times New Roman"/>
              <w:b/>
              <w:iCs/>
              <w:color w:val="000000"/>
              <w:sz w:val="16"/>
              <w:szCs w:val="16"/>
            </w:rPr>
            <w:t>G</w:t>
          </w:r>
          <w:r w:rsidR="0081056E">
            <w:rPr>
              <w:rFonts w:ascii="Times New Roman" w:eastAsia="Tahoma" w:hAnsi="Times New Roman" w:cs="Times New Roman"/>
              <w:b/>
              <w:iCs/>
              <w:color w:val="000000"/>
              <w:sz w:val="16"/>
              <w:szCs w:val="16"/>
            </w:rPr>
            <w:t>estor</w:t>
          </w:r>
          <w:r w:rsidRPr="005B710E">
            <w:rPr>
              <w:rFonts w:ascii="Times New Roman" w:eastAsia="Tahoma" w:hAnsi="Times New Roman" w:cs="Times New Roman"/>
              <w:b/>
              <w:iCs/>
              <w:color w:val="000000"/>
              <w:sz w:val="16"/>
              <w:szCs w:val="16"/>
            </w:rPr>
            <w:t xml:space="preserve"> de </w:t>
          </w:r>
          <w:r w:rsidR="00576B4F">
            <w:rPr>
              <w:rFonts w:ascii="Times New Roman" w:eastAsia="Tahoma" w:hAnsi="Times New Roman" w:cs="Times New Roman"/>
              <w:b/>
              <w:iCs/>
              <w:color w:val="000000"/>
              <w:sz w:val="16"/>
              <w:szCs w:val="16"/>
            </w:rPr>
            <w:t>Conformidades de Pago</w:t>
          </w:r>
        </w:p>
      </w:tc>
      <w:tc>
        <w:tcPr>
          <w:tcW w:w="916" w:type="dxa"/>
          <w:shd w:val="clear" w:color="auto" w:fill="FFFFFF"/>
          <w:vAlign w:val="center"/>
        </w:tcPr>
        <w:p w14:paraId="4E766B7F"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ind w:left="71" w:hanging="71"/>
            <w:jc w:val="center"/>
            <w:rPr>
              <w:rFonts w:ascii="Times New Roman" w:eastAsia="Tahoma" w:hAnsi="Times New Roman" w:cs="Times New Roman"/>
              <w:b/>
              <w:i/>
              <w:color w:val="000000"/>
              <w:sz w:val="16"/>
              <w:szCs w:val="16"/>
            </w:rPr>
          </w:pPr>
          <w:r w:rsidRPr="00864CE4">
            <w:rPr>
              <w:rFonts w:ascii="Times New Roman" w:eastAsia="Tahoma" w:hAnsi="Times New Roman" w:cs="Times New Roman"/>
              <w:b/>
              <w:i/>
              <w:color w:val="000000"/>
              <w:sz w:val="16"/>
              <w:szCs w:val="16"/>
            </w:rPr>
            <w:t>Fecha</w:t>
          </w:r>
        </w:p>
      </w:tc>
      <w:tc>
        <w:tcPr>
          <w:tcW w:w="1777" w:type="dxa"/>
          <w:shd w:val="clear" w:color="auto" w:fill="FFFFFF"/>
          <w:vAlign w:val="center"/>
        </w:tcPr>
        <w:p w14:paraId="3006CE9D" w14:textId="0C3231D4" w:rsidR="00062758" w:rsidRPr="005B710E" w:rsidRDefault="00062758" w:rsidP="00F87C29">
          <w:pPr>
            <w:pBdr>
              <w:top w:val="nil"/>
              <w:left w:val="nil"/>
              <w:bottom w:val="nil"/>
              <w:right w:val="nil"/>
              <w:between w:val="nil"/>
            </w:pBdr>
            <w:tabs>
              <w:tab w:val="center" w:pos="4252"/>
              <w:tab w:val="right" w:pos="8504"/>
            </w:tabs>
            <w:spacing w:after="0" w:line="240" w:lineRule="auto"/>
            <w:ind w:left="71" w:hanging="71"/>
            <w:jc w:val="center"/>
            <w:rPr>
              <w:rFonts w:ascii="Times New Roman" w:eastAsia="Tahoma" w:hAnsi="Times New Roman" w:cs="Times New Roman"/>
              <w:bCs/>
              <w:iCs/>
              <w:color w:val="000000"/>
              <w:sz w:val="16"/>
              <w:szCs w:val="16"/>
            </w:rPr>
          </w:pPr>
          <w:r>
            <w:rPr>
              <w:rFonts w:ascii="Times New Roman" w:eastAsia="Tahoma" w:hAnsi="Times New Roman" w:cs="Times New Roman"/>
              <w:bCs/>
              <w:iCs/>
              <w:color w:val="000000"/>
              <w:sz w:val="16"/>
              <w:szCs w:val="16"/>
            </w:rPr>
            <w:t>1</w:t>
          </w:r>
          <w:r w:rsidR="00590946">
            <w:rPr>
              <w:rFonts w:ascii="Times New Roman" w:eastAsia="Tahoma" w:hAnsi="Times New Roman" w:cs="Times New Roman"/>
              <w:bCs/>
              <w:iCs/>
              <w:color w:val="000000"/>
              <w:sz w:val="16"/>
              <w:szCs w:val="16"/>
            </w:rPr>
            <w:t>7</w:t>
          </w:r>
          <w:r w:rsidRPr="005B710E">
            <w:rPr>
              <w:rFonts w:ascii="Times New Roman" w:eastAsia="Tahoma" w:hAnsi="Times New Roman" w:cs="Times New Roman"/>
              <w:bCs/>
              <w:iCs/>
              <w:color w:val="000000"/>
              <w:sz w:val="16"/>
              <w:szCs w:val="16"/>
            </w:rPr>
            <w:t>/0</w:t>
          </w:r>
          <w:r>
            <w:rPr>
              <w:rFonts w:ascii="Times New Roman" w:eastAsia="Tahoma" w:hAnsi="Times New Roman" w:cs="Times New Roman"/>
              <w:bCs/>
              <w:iCs/>
              <w:color w:val="000000"/>
              <w:sz w:val="16"/>
              <w:szCs w:val="16"/>
            </w:rPr>
            <w:t>4</w:t>
          </w:r>
          <w:r w:rsidRPr="005B710E">
            <w:rPr>
              <w:rFonts w:ascii="Times New Roman" w:eastAsia="Tahoma" w:hAnsi="Times New Roman" w:cs="Times New Roman"/>
              <w:bCs/>
              <w:iCs/>
              <w:color w:val="000000"/>
              <w:sz w:val="16"/>
              <w:szCs w:val="16"/>
            </w:rPr>
            <w:t>/202</w:t>
          </w:r>
          <w:r>
            <w:rPr>
              <w:rFonts w:ascii="Times New Roman" w:eastAsia="Tahoma" w:hAnsi="Times New Roman" w:cs="Times New Roman"/>
              <w:bCs/>
              <w:iCs/>
              <w:color w:val="000000"/>
              <w:sz w:val="16"/>
              <w:szCs w:val="16"/>
            </w:rPr>
            <w:t>6</w:t>
          </w:r>
        </w:p>
      </w:tc>
      <w:tc>
        <w:tcPr>
          <w:tcW w:w="1433" w:type="dxa"/>
          <w:vMerge/>
          <w:shd w:val="clear" w:color="auto" w:fill="FFFFFF"/>
          <w:vAlign w:val="center"/>
        </w:tcPr>
        <w:p w14:paraId="103130F5"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ind w:left="71" w:hanging="71"/>
            <w:jc w:val="center"/>
            <w:rPr>
              <w:rFonts w:ascii="Times New Roman" w:eastAsia="Tahoma" w:hAnsi="Times New Roman" w:cs="Times New Roman"/>
              <w:b/>
              <w:i/>
              <w:color w:val="000000"/>
              <w:sz w:val="16"/>
              <w:szCs w:val="16"/>
            </w:rPr>
          </w:pPr>
        </w:p>
      </w:tc>
    </w:tr>
    <w:tr w:rsidR="00062758" w:rsidRPr="009A1ACE" w14:paraId="041270DC" w14:textId="77777777" w:rsidTr="00F87C29">
      <w:trPr>
        <w:trHeight w:val="184"/>
      </w:trPr>
      <w:tc>
        <w:tcPr>
          <w:tcW w:w="1686" w:type="dxa"/>
          <w:vMerge/>
          <w:shd w:val="clear" w:color="auto" w:fill="FFFFFF"/>
          <w:vAlign w:val="center"/>
        </w:tcPr>
        <w:p w14:paraId="2B615563" w14:textId="77777777" w:rsidR="00062758" w:rsidRPr="009A1ACE" w:rsidRDefault="00062758" w:rsidP="00F87C29">
          <w:pPr>
            <w:pBdr>
              <w:top w:val="nil"/>
              <w:left w:val="nil"/>
              <w:bottom w:val="nil"/>
              <w:right w:val="nil"/>
              <w:between w:val="nil"/>
            </w:pBdr>
            <w:tabs>
              <w:tab w:val="center" w:pos="4252"/>
              <w:tab w:val="right" w:pos="8504"/>
            </w:tabs>
            <w:spacing w:after="0" w:line="240" w:lineRule="auto"/>
            <w:ind w:left="71" w:hanging="71"/>
            <w:jc w:val="center"/>
            <w:rPr>
              <w:rFonts w:ascii="Times New Roman" w:eastAsia="Tahoma" w:hAnsi="Times New Roman" w:cs="Times New Roman"/>
              <w:b/>
              <w:color w:val="000000"/>
              <w:sz w:val="16"/>
              <w:szCs w:val="16"/>
            </w:rPr>
          </w:pPr>
        </w:p>
      </w:tc>
      <w:tc>
        <w:tcPr>
          <w:tcW w:w="3242" w:type="dxa"/>
          <w:gridSpan w:val="4"/>
          <w:vMerge/>
          <w:shd w:val="clear" w:color="auto" w:fill="FFFFFF"/>
          <w:vAlign w:val="center"/>
        </w:tcPr>
        <w:p w14:paraId="50158DF5" w14:textId="77777777" w:rsidR="00062758" w:rsidRPr="00864CE4" w:rsidRDefault="00062758" w:rsidP="00F87C29">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imes New Roman" w:eastAsia="Tahoma" w:hAnsi="Times New Roman" w:cs="Times New Roman"/>
              <w:b/>
              <w:i/>
              <w:color w:val="000000"/>
              <w:sz w:val="16"/>
              <w:szCs w:val="16"/>
            </w:rPr>
          </w:pPr>
        </w:p>
      </w:tc>
      <w:tc>
        <w:tcPr>
          <w:tcW w:w="916" w:type="dxa"/>
          <w:vMerge w:val="restart"/>
          <w:shd w:val="clear" w:color="auto" w:fill="FFFFFF"/>
          <w:vAlign w:val="center"/>
        </w:tcPr>
        <w:p w14:paraId="65F3C56C" w14:textId="77777777" w:rsidR="00062758" w:rsidRPr="00864CE4" w:rsidRDefault="00062758" w:rsidP="00F87C29">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imes New Roman" w:eastAsia="Tahoma" w:hAnsi="Times New Roman" w:cs="Times New Roman"/>
              <w:b/>
              <w:i/>
              <w:color w:val="000000"/>
              <w:sz w:val="16"/>
              <w:szCs w:val="16"/>
            </w:rPr>
          </w:pPr>
          <w:r w:rsidRPr="00864CE4">
            <w:rPr>
              <w:rFonts w:ascii="Times New Roman" w:eastAsia="Tahoma" w:hAnsi="Times New Roman" w:cs="Times New Roman"/>
              <w:b/>
              <w:i/>
              <w:color w:val="000000"/>
              <w:sz w:val="16"/>
              <w:szCs w:val="16"/>
            </w:rPr>
            <w:t>Nivel de acceso</w:t>
          </w:r>
        </w:p>
      </w:tc>
      <w:tc>
        <w:tcPr>
          <w:tcW w:w="1777" w:type="dxa"/>
          <w:vMerge w:val="restart"/>
          <w:shd w:val="clear" w:color="auto" w:fill="FFFFFF"/>
          <w:vAlign w:val="center"/>
        </w:tcPr>
        <w:p w14:paraId="53E99CC5" w14:textId="77777777" w:rsidR="00062758" w:rsidRPr="005B710E" w:rsidRDefault="00062758" w:rsidP="00F87C29">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imes New Roman" w:eastAsia="Tahoma" w:hAnsi="Times New Roman" w:cs="Times New Roman"/>
              <w:bCs/>
              <w:iCs/>
              <w:color w:val="000000"/>
              <w:sz w:val="16"/>
              <w:szCs w:val="16"/>
            </w:rPr>
          </w:pPr>
          <w:r w:rsidRPr="005B710E">
            <w:rPr>
              <w:rFonts w:ascii="Times New Roman" w:eastAsia="Tahoma" w:hAnsi="Times New Roman" w:cs="Times New Roman"/>
              <w:bCs/>
              <w:iCs/>
              <w:color w:val="000000"/>
              <w:sz w:val="16"/>
              <w:szCs w:val="16"/>
            </w:rPr>
            <w:t>Restringido</w:t>
          </w:r>
        </w:p>
      </w:tc>
      <w:tc>
        <w:tcPr>
          <w:tcW w:w="1433" w:type="dxa"/>
          <w:vMerge/>
          <w:shd w:val="clear" w:color="auto" w:fill="FFFFFF"/>
          <w:vAlign w:val="center"/>
        </w:tcPr>
        <w:p w14:paraId="443017EB" w14:textId="77777777" w:rsidR="00062758" w:rsidRPr="00864CE4" w:rsidRDefault="00062758" w:rsidP="00F87C29">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imes New Roman" w:eastAsia="Tahoma" w:hAnsi="Times New Roman" w:cs="Times New Roman"/>
              <w:b/>
              <w:i/>
              <w:color w:val="000000"/>
              <w:sz w:val="16"/>
              <w:szCs w:val="16"/>
            </w:rPr>
          </w:pPr>
        </w:p>
      </w:tc>
    </w:tr>
    <w:tr w:rsidR="00062758" w:rsidRPr="009A1ACE" w14:paraId="18A00319" w14:textId="77777777" w:rsidTr="00F87C29">
      <w:trPr>
        <w:trHeight w:val="368"/>
      </w:trPr>
      <w:tc>
        <w:tcPr>
          <w:tcW w:w="1686" w:type="dxa"/>
          <w:vMerge/>
          <w:shd w:val="clear" w:color="auto" w:fill="FFFFFF"/>
          <w:vAlign w:val="center"/>
        </w:tcPr>
        <w:p w14:paraId="52805D45" w14:textId="77777777" w:rsidR="00062758" w:rsidRPr="009A1ACE" w:rsidRDefault="00062758" w:rsidP="00F87C29">
          <w:pPr>
            <w:pBdr>
              <w:top w:val="nil"/>
              <w:left w:val="nil"/>
              <w:bottom w:val="nil"/>
              <w:right w:val="nil"/>
              <w:between w:val="nil"/>
            </w:pBdr>
            <w:tabs>
              <w:tab w:val="center" w:pos="4252"/>
              <w:tab w:val="right" w:pos="8504"/>
            </w:tabs>
            <w:spacing w:after="0" w:line="240" w:lineRule="auto"/>
            <w:ind w:left="71" w:hanging="71"/>
            <w:jc w:val="center"/>
            <w:rPr>
              <w:rFonts w:ascii="Times New Roman" w:eastAsia="Tahoma" w:hAnsi="Times New Roman" w:cs="Times New Roman"/>
              <w:color w:val="000000"/>
              <w:sz w:val="16"/>
              <w:szCs w:val="16"/>
            </w:rPr>
          </w:pPr>
        </w:p>
      </w:tc>
      <w:tc>
        <w:tcPr>
          <w:tcW w:w="3242" w:type="dxa"/>
          <w:gridSpan w:val="4"/>
          <w:shd w:val="clear" w:color="auto" w:fill="FFFFFF"/>
          <w:vAlign w:val="center"/>
        </w:tcPr>
        <w:p w14:paraId="2187067F" w14:textId="77777777" w:rsidR="00062758" w:rsidRPr="005B710E" w:rsidRDefault="00062758" w:rsidP="00F87C29">
          <w:pPr>
            <w:pBdr>
              <w:top w:val="nil"/>
              <w:left w:val="nil"/>
              <w:bottom w:val="nil"/>
              <w:right w:val="nil"/>
              <w:between w:val="nil"/>
            </w:pBdr>
            <w:tabs>
              <w:tab w:val="center" w:pos="4252"/>
              <w:tab w:val="right" w:pos="8504"/>
            </w:tabs>
            <w:spacing w:after="0" w:line="240" w:lineRule="auto"/>
            <w:jc w:val="center"/>
            <w:rPr>
              <w:rFonts w:ascii="Times New Roman" w:eastAsia="Tahoma" w:hAnsi="Times New Roman" w:cs="Times New Roman"/>
              <w:bCs/>
              <w:iCs/>
              <w:color w:val="000000"/>
              <w:sz w:val="16"/>
              <w:szCs w:val="16"/>
            </w:rPr>
          </w:pPr>
          <w:r>
            <w:rPr>
              <w:rFonts w:ascii="Times New Roman" w:eastAsia="Tahoma" w:hAnsi="Times New Roman" w:cs="Times New Roman"/>
              <w:b/>
              <w:i/>
              <w:color w:val="000000"/>
              <w:sz w:val="16"/>
              <w:szCs w:val="16"/>
            </w:rPr>
            <w:t>Ficha</w:t>
          </w:r>
        </w:p>
      </w:tc>
      <w:tc>
        <w:tcPr>
          <w:tcW w:w="916" w:type="dxa"/>
          <w:vMerge/>
          <w:shd w:val="clear" w:color="auto" w:fill="FFFFFF"/>
          <w:vAlign w:val="center"/>
        </w:tcPr>
        <w:p w14:paraId="5410F53A"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jc w:val="center"/>
            <w:rPr>
              <w:rFonts w:ascii="Times New Roman" w:eastAsia="Tahoma" w:hAnsi="Times New Roman" w:cs="Times New Roman"/>
              <w:b/>
              <w:i/>
              <w:color w:val="000000"/>
              <w:sz w:val="16"/>
              <w:szCs w:val="16"/>
            </w:rPr>
          </w:pPr>
        </w:p>
      </w:tc>
      <w:tc>
        <w:tcPr>
          <w:tcW w:w="1777" w:type="dxa"/>
          <w:vMerge/>
          <w:shd w:val="clear" w:color="auto" w:fill="FFFFFF"/>
          <w:vAlign w:val="center"/>
        </w:tcPr>
        <w:p w14:paraId="299C89AA"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jc w:val="center"/>
            <w:rPr>
              <w:rFonts w:ascii="Times New Roman" w:eastAsia="Tahoma" w:hAnsi="Times New Roman" w:cs="Times New Roman"/>
              <w:b/>
              <w:i/>
              <w:color w:val="000000"/>
              <w:sz w:val="16"/>
              <w:szCs w:val="16"/>
            </w:rPr>
          </w:pPr>
        </w:p>
      </w:tc>
      <w:tc>
        <w:tcPr>
          <w:tcW w:w="1433" w:type="dxa"/>
          <w:vMerge/>
          <w:shd w:val="clear" w:color="auto" w:fill="FFFFFF"/>
          <w:vAlign w:val="center"/>
        </w:tcPr>
        <w:p w14:paraId="7559FF31"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jc w:val="center"/>
            <w:rPr>
              <w:rFonts w:ascii="Times New Roman" w:eastAsia="Tahoma" w:hAnsi="Times New Roman" w:cs="Times New Roman"/>
              <w:b/>
              <w:i/>
              <w:color w:val="000000"/>
              <w:sz w:val="16"/>
              <w:szCs w:val="16"/>
            </w:rPr>
          </w:pPr>
        </w:p>
      </w:tc>
    </w:tr>
    <w:tr w:rsidR="00062758" w:rsidRPr="009A1ACE" w14:paraId="780FAEEE" w14:textId="77777777" w:rsidTr="00F87C29">
      <w:trPr>
        <w:trHeight w:val="368"/>
      </w:trPr>
      <w:tc>
        <w:tcPr>
          <w:tcW w:w="1686" w:type="dxa"/>
          <w:vMerge/>
          <w:shd w:val="clear" w:color="auto" w:fill="FFFFFF"/>
          <w:vAlign w:val="center"/>
        </w:tcPr>
        <w:p w14:paraId="4DA39924" w14:textId="77777777" w:rsidR="00062758" w:rsidRPr="009A1ACE" w:rsidRDefault="00062758" w:rsidP="00F87C29">
          <w:pPr>
            <w:pBdr>
              <w:top w:val="nil"/>
              <w:left w:val="nil"/>
              <w:bottom w:val="nil"/>
              <w:right w:val="nil"/>
              <w:between w:val="nil"/>
            </w:pBdr>
            <w:tabs>
              <w:tab w:val="center" w:pos="4252"/>
              <w:tab w:val="right" w:pos="8504"/>
            </w:tabs>
            <w:spacing w:after="0" w:line="240" w:lineRule="auto"/>
            <w:ind w:left="71" w:hanging="71"/>
            <w:jc w:val="center"/>
            <w:rPr>
              <w:rFonts w:ascii="Times New Roman" w:eastAsia="Tahoma" w:hAnsi="Times New Roman" w:cs="Times New Roman"/>
              <w:color w:val="000000"/>
              <w:sz w:val="16"/>
              <w:szCs w:val="16"/>
            </w:rPr>
          </w:pPr>
        </w:p>
      </w:tc>
      <w:tc>
        <w:tcPr>
          <w:tcW w:w="3242" w:type="dxa"/>
          <w:gridSpan w:val="4"/>
          <w:shd w:val="clear" w:color="auto" w:fill="FFFFFF"/>
          <w:vAlign w:val="center"/>
        </w:tcPr>
        <w:p w14:paraId="1836E9B9" w14:textId="77777777" w:rsidR="00062758" w:rsidRPr="006A1E6C" w:rsidRDefault="00062758" w:rsidP="00F87C29">
          <w:pPr>
            <w:pBdr>
              <w:top w:val="nil"/>
              <w:left w:val="nil"/>
              <w:bottom w:val="nil"/>
              <w:right w:val="nil"/>
              <w:between w:val="nil"/>
            </w:pBdr>
            <w:tabs>
              <w:tab w:val="center" w:pos="4252"/>
              <w:tab w:val="right" w:pos="8504"/>
            </w:tabs>
            <w:spacing w:after="0" w:line="240" w:lineRule="auto"/>
            <w:ind w:left="71" w:hanging="71"/>
            <w:jc w:val="center"/>
            <w:rPr>
              <w:rFonts w:ascii="Times New Roman" w:eastAsia="Tahoma" w:hAnsi="Times New Roman" w:cs="Times New Roman"/>
              <w:b/>
              <w:iCs/>
              <w:color w:val="000000"/>
              <w:sz w:val="16"/>
              <w:szCs w:val="16"/>
            </w:rPr>
          </w:pPr>
          <w:r w:rsidRPr="006A1E6C">
            <w:rPr>
              <w:rFonts w:ascii="Times New Roman" w:eastAsia="Tahoma" w:hAnsi="Times New Roman" w:cs="Times New Roman"/>
              <w:b/>
              <w:iCs/>
              <w:color w:val="000000"/>
              <w:sz w:val="16"/>
              <w:szCs w:val="16"/>
            </w:rPr>
            <w:t>Entrega de desarrollo</w:t>
          </w:r>
        </w:p>
      </w:tc>
      <w:tc>
        <w:tcPr>
          <w:tcW w:w="916" w:type="dxa"/>
          <w:vMerge/>
          <w:shd w:val="clear" w:color="auto" w:fill="FFFFFF"/>
          <w:vAlign w:val="center"/>
        </w:tcPr>
        <w:p w14:paraId="0DB12A6A"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jc w:val="center"/>
            <w:rPr>
              <w:rFonts w:ascii="Times New Roman" w:eastAsia="Tahoma" w:hAnsi="Times New Roman" w:cs="Times New Roman"/>
              <w:b/>
              <w:i/>
              <w:color w:val="000000"/>
              <w:sz w:val="16"/>
              <w:szCs w:val="16"/>
            </w:rPr>
          </w:pPr>
        </w:p>
      </w:tc>
      <w:tc>
        <w:tcPr>
          <w:tcW w:w="1777" w:type="dxa"/>
          <w:vMerge/>
          <w:shd w:val="clear" w:color="auto" w:fill="FFFFFF"/>
          <w:vAlign w:val="center"/>
        </w:tcPr>
        <w:p w14:paraId="60B4CD91"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jc w:val="center"/>
            <w:rPr>
              <w:rFonts w:ascii="Times New Roman" w:eastAsia="Tahoma" w:hAnsi="Times New Roman" w:cs="Times New Roman"/>
              <w:b/>
              <w:i/>
              <w:color w:val="000000"/>
              <w:sz w:val="16"/>
              <w:szCs w:val="16"/>
            </w:rPr>
          </w:pPr>
        </w:p>
      </w:tc>
      <w:tc>
        <w:tcPr>
          <w:tcW w:w="1433" w:type="dxa"/>
          <w:vMerge/>
          <w:shd w:val="clear" w:color="auto" w:fill="FFFFFF"/>
          <w:vAlign w:val="center"/>
        </w:tcPr>
        <w:p w14:paraId="133F2233"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jc w:val="center"/>
            <w:rPr>
              <w:rFonts w:ascii="Times New Roman" w:eastAsia="Tahoma" w:hAnsi="Times New Roman" w:cs="Times New Roman"/>
              <w:b/>
              <w:i/>
              <w:color w:val="000000"/>
              <w:sz w:val="16"/>
              <w:szCs w:val="16"/>
            </w:rPr>
          </w:pPr>
        </w:p>
      </w:tc>
    </w:tr>
    <w:tr w:rsidR="00062758" w:rsidRPr="009A1ACE" w14:paraId="0C1FC4AC" w14:textId="77777777" w:rsidTr="00F87C29">
      <w:trPr>
        <w:trHeight w:val="368"/>
      </w:trPr>
      <w:tc>
        <w:tcPr>
          <w:tcW w:w="1686" w:type="dxa"/>
          <w:vMerge/>
          <w:shd w:val="clear" w:color="auto" w:fill="FFFFFF"/>
          <w:vAlign w:val="center"/>
        </w:tcPr>
        <w:p w14:paraId="0CB6C757" w14:textId="77777777" w:rsidR="00062758" w:rsidRPr="009A1ACE" w:rsidRDefault="00062758" w:rsidP="00F87C29">
          <w:pPr>
            <w:pBdr>
              <w:top w:val="nil"/>
              <w:left w:val="nil"/>
              <w:bottom w:val="nil"/>
              <w:right w:val="nil"/>
              <w:between w:val="nil"/>
            </w:pBdr>
            <w:tabs>
              <w:tab w:val="center" w:pos="4252"/>
              <w:tab w:val="right" w:pos="8504"/>
            </w:tabs>
            <w:spacing w:after="0" w:line="240" w:lineRule="auto"/>
            <w:ind w:left="71" w:hanging="71"/>
            <w:jc w:val="center"/>
            <w:rPr>
              <w:rFonts w:ascii="Times New Roman" w:eastAsia="Tahoma" w:hAnsi="Times New Roman" w:cs="Times New Roman"/>
              <w:color w:val="000000"/>
              <w:sz w:val="16"/>
              <w:szCs w:val="16"/>
            </w:rPr>
          </w:pPr>
        </w:p>
      </w:tc>
      <w:tc>
        <w:tcPr>
          <w:tcW w:w="732" w:type="dxa"/>
          <w:shd w:val="clear" w:color="auto" w:fill="FFFFFF"/>
          <w:vAlign w:val="center"/>
        </w:tcPr>
        <w:p w14:paraId="5B0A1737"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ind w:left="71" w:hanging="71"/>
            <w:jc w:val="center"/>
            <w:rPr>
              <w:rFonts w:ascii="Times New Roman" w:eastAsia="Tahoma" w:hAnsi="Times New Roman" w:cs="Times New Roman"/>
              <w:b/>
              <w:i/>
              <w:color w:val="000000"/>
              <w:sz w:val="16"/>
              <w:szCs w:val="16"/>
            </w:rPr>
          </w:pPr>
          <w:r w:rsidRPr="00864CE4">
            <w:rPr>
              <w:rFonts w:ascii="Times New Roman" w:eastAsia="Tahoma" w:hAnsi="Times New Roman" w:cs="Times New Roman"/>
              <w:b/>
              <w:i/>
              <w:color w:val="000000"/>
              <w:sz w:val="16"/>
              <w:szCs w:val="16"/>
            </w:rPr>
            <w:t>Versión</w:t>
          </w:r>
        </w:p>
      </w:tc>
      <w:tc>
        <w:tcPr>
          <w:tcW w:w="536" w:type="dxa"/>
          <w:shd w:val="clear" w:color="auto" w:fill="FFFFFF"/>
          <w:vAlign w:val="center"/>
        </w:tcPr>
        <w:p w14:paraId="2D29852E" w14:textId="77777777" w:rsidR="00062758" w:rsidRPr="005B710E" w:rsidRDefault="00062758" w:rsidP="00F87C29">
          <w:pPr>
            <w:pBdr>
              <w:top w:val="nil"/>
              <w:left w:val="nil"/>
              <w:bottom w:val="nil"/>
              <w:right w:val="nil"/>
              <w:between w:val="nil"/>
            </w:pBdr>
            <w:tabs>
              <w:tab w:val="center" w:pos="4252"/>
              <w:tab w:val="right" w:pos="8504"/>
            </w:tabs>
            <w:spacing w:after="0" w:line="240" w:lineRule="auto"/>
            <w:ind w:left="71" w:hanging="71"/>
            <w:jc w:val="center"/>
            <w:rPr>
              <w:rFonts w:ascii="Times New Roman" w:eastAsia="Tahoma" w:hAnsi="Times New Roman" w:cs="Times New Roman"/>
              <w:bCs/>
              <w:iCs/>
              <w:color w:val="000000"/>
              <w:sz w:val="16"/>
              <w:szCs w:val="16"/>
            </w:rPr>
          </w:pPr>
          <w:r w:rsidRPr="005B710E">
            <w:rPr>
              <w:rFonts w:ascii="Times New Roman" w:eastAsia="Tahoma" w:hAnsi="Times New Roman" w:cs="Times New Roman"/>
              <w:bCs/>
              <w:iCs/>
              <w:color w:val="000000"/>
              <w:sz w:val="16"/>
              <w:szCs w:val="16"/>
            </w:rPr>
            <w:t>1.0.0</w:t>
          </w:r>
        </w:p>
      </w:tc>
      <w:tc>
        <w:tcPr>
          <w:tcW w:w="698" w:type="dxa"/>
          <w:shd w:val="clear" w:color="auto" w:fill="FFFFFF"/>
          <w:vAlign w:val="center"/>
        </w:tcPr>
        <w:p w14:paraId="2CE6F447"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jc w:val="center"/>
            <w:rPr>
              <w:rFonts w:ascii="Times New Roman" w:eastAsia="Tahoma" w:hAnsi="Times New Roman" w:cs="Times New Roman"/>
              <w:b/>
              <w:i/>
              <w:color w:val="000000"/>
              <w:sz w:val="16"/>
              <w:szCs w:val="16"/>
            </w:rPr>
          </w:pPr>
          <w:r w:rsidRPr="00864CE4">
            <w:rPr>
              <w:rFonts w:ascii="Times New Roman" w:eastAsia="Tahoma" w:hAnsi="Times New Roman" w:cs="Times New Roman"/>
              <w:b/>
              <w:i/>
              <w:color w:val="000000"/>
              <w:sz w:val="16"/>
              <w:szCs w:val="16"/>
            </w:rPr>
            <w:t>Código</w:t>
          </w:r>
        </w:p>
      </w:tc>
      <w:tc>
        <w:tcPr>
          <w:tcW w:w="1276" w:type="dxa"/>
          <w:shd w:val="clear" w:color="auto" w:fill="FFFFFF"/>
          <w:vAlign w:val="center"/>
        </w:tcPr>
        <w:p w14:paraId="333614F8" w14:textId="20E6D171" w:rsidR="00062758" w:rsidRDefault="00062758" w:rsidP="00F87C29">
          <w:pPr>
            <w:pBdr>
              <w:top w:val="nil"/>
              <w:left w:val="nil"/>
              <w:bottom w:val="nil"/>
              <w:right w:val="nil"/>
              <w:between w:val="nil"/>
            </w:pBdr>
            <w:tabs>
              <w:tab w:val="center" w:pos="4252"/>
              <w:tab w:val="right" w:pos="8504"/>
            </w:tabs>
            <w:spacing w:after="0" w:line="240" w:lineRule="auto"/>
            <w:jc w:val="center"/>
            <w:rPr>
              <w:rFonts w:ascii="Times New Roman" w:eastAsia="Tahoma" w:hAnsi="Times New Roman" w:cs="Times New Roman"/>
              <w:bCs/>
              <w:iCs/>
              <w:color w:val="000000"/>
              <w:sz w:val="16"/>
              <w:szCs w:val="16"/>
            </w:rPr>
          </w:pPr>
          <w:r>
            <w:rPr>
              <w:rFonts w:ascii="Times New Roman" w:eastAsia="Tahoma" w:hAnsi="Times New Roman" w:cs="Times New Roman"/>
              <w:bCs/>
              <w:iCs/>
              <w:color w:val="000000"/>
              <w:sz w:val="16"/>
              <w:szCs w:val="16"/>
            </w:rPr>
            <w:t>G</w:t>
          </w:r>
          <w:r w:rsidR="00576B4F">
            <w:rPr>
              <w:rFonts w:ascii="Times New Roman" w:eastAsia="Tahoma" w:hAnsi="Times New Roman" w:cs="Times New Roman"/>
              <w:bCs/>
              <w:iCs/>
              <w:color w:val="000000"/>
              <w:sz w:val="16"/>
              <w:szCs w:val="16"/>
            </w:rPr>
            <w:t>CP-</w:t>
          </w:r>
          <w:r>
            <w:rPr>
              <w:rFonts w:ascii="Times New Roman" w:eastAsia="Tahoma" w:hAnsi="Times New Roman" w:cs="Times New Roman"/>
              <w:bCs/>
              <w:iCs/>
              <w:color w:val="000000"/>
              <w:sz w:val="16"/>
              <w:szCs w:val="16"/>
            </w:rPr>
            <w:t>ED-</w:t>
          </w:r>
          <w:r w:rsidR="00576B4F">
            <w:rPr>
              <w:rFonts w:ascii="Times New Roman" w:eastAsia="Tahoma" w:hAnsi="Times New Roman" w:cs="Times New Roman"/>
              <w:bCs/>
              <w:iCs/>
              <w:color w:val="000000"/>
              <w:sz w:val="16"/>
              <w:szCs w:val="16"/>
            </w:rPr>
            <w:t>ADM</w:t>
          </w:r>
        </w:p>
      </w:tc>
      <w:tc>
        <w:tcPr>
          <w:tcW w:w="916" w:type="dxa"/>
          <w:vMerge/>
          <w:shd w:val="clear" w:color="auto" w:fill="FFFFFF"/>
          <w:vAlign w:val="center"/>
        </w:tcPr>
        <w:p w14:paraId="3CCF4B61"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jc w:val="center"/>
            <w:rPr>
              <w:rFonts w:ascii="Times New Roman" w:eastAsia="Tahoma" w:hAnsi="Times New Roman" w:cs="Times New Roman"/>
              <w:b/>
              <w:i/>
              <w:color w:val="000000"/>
              <w:sz w:val="16"/>
              <w:szCs w:val="16"/>
            </w:rPr>
          </w:pPr>
        </w:p>
      </w:tc>
      <w:tc>
        <w:tcPr>
          <w:tcW w:w="1777" w:type="dxa"/>
          <w:vMerge/>
          <w:shd w:val="clear" w:color="auto" w:fill="FFFFFF"/>
          <w:vAlign w:val="center"/>
        </w:tcPr>
        <w:p w14:paraId="778BA78B"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jc w:val="center"/>
            <w:rPr>
              <w:rFonts w:ascii="Times New Roman" w:eastAsia="Tahoma" w:hAnsi="Times New Roman" w:cs="Times New Roman"/>
              <w:b/>
              <w:i/>
              <w:color w:val="000000"/>
              <w:sz w:val="16"/>
              <w:szCs w:val="16"/>
            </w:rPr>
          </w:pPr>
        </w:p>
      </w:tc>
      <w:tc>
        <w:tcPr>
          <w:tcW w:w="1433" w:type="dxa"/>
          <w:vMerge/>
          <w:shd w:val="clear" w:color="auto" w:fill="FFFFFF"/>
          <w:vAlign w:val="center"/>
        </w:tcPr>
        <w:p w14:paraId="43A7817F"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jc w:val="center"/>
            <w:rPr>
              <w:rFonts w:ascii="Times New Roman" w:eastAsia="Tahoma" w:hAnsi="Times New Roman" w:cs="Times New Roman"/>
              <w:b/>
              <w:i/>
              <w:color w:val="000000"/>
              <w:sz w:val="16"/>
              <w:szCs w:val="16"/>
            </w:rPr>
          </w:pPr>
        </w:p>
      </w:tc>
    </w:tr>
  </w:tbl>
  <w:p w14:paraId="3025E9FE" w14:textId="77777777" w:rsidR="006B2919" w:rsidRDefault="006B2919" w:rsidP="00062758">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0645D"/>
    <w:multiLevelType w:val="multilevel"/>
    <w:tmpl w:val="04604D8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16B71338"/>
    <w:multiLevelType w:val="multilevel"/>
    <w:tmpl w:val="F49EF7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8B37302"/>
    <w:multiLevelType w:val="hybridMultilevel"/>
    <w:tmpl w:val="97F0787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6B2919"/>
    <w:rsid w:val="00004504"/>
    <w:rsid w:val="00060B93"/>
    <w:rsid w:val="00062758"/>
    <w:rsid w:val="000725B1"/>
    <w:rsid w:val="00077A31"/>
    <w:rsid w:val="00092EF3"/>
    <w:rsid w:val="000B1092"/>
    <w:rsid w:val="000B396F"/>
    <w:rsid w:val="000C788B"/>
    <w:rsid w:val="000D700D"/>
    <w:rsid w:val="000E55B5"/>
    <w:rsid w:val="000F67CC"/>
    <w:rsid w:val="00101C4F"/>
    <w:rsid w:val="0010204A"/>
    <w:rsid w:val="00106CDF"/>
    <w:rsid w:val="00120E1C"/>
    <w:rsid w:val="001240ED"/>
    <w:rsid w:val="00132EEF"/>
    <w:rsid w:val="001430B8"/>
    <w:rsid w:val="0019027F"/>
    <w:rsid w:val="001C4245"/>
    <w:rsid w:val="001D6755"/>
    <w:rsid w:val="001D6F08"/>
    <w:rsid w:val="002035D0"/>
    <w:rsid w:val="002251A3"/>
    <w:rsid w:val="002251AE"/>
    <w:rsid w:val="00227539"/>
    <w:rsid w:val="00235352"/>
    <w:rsid w:val="002417B4"/>
    <w:rsid w:val="00242585"/>
    <w:rsid w:val="00256FA5"/>
    <w:rsid w:val="0028221D"/>
    <w:rsid w:val="00293A11"/>
    <w:rsid w:val="002B65C2"/>
    <w:rsid w:val="002C11A2"/>
    <w:rsid w:val="002C238D"/>
    <w:rsid w:val="002E251B"/>
    <w:rsid w:val="0030281F"/>
    <w:rsid w:val="00323C61"/>
    <w:rsid w:val="003550A9"/>
    <w:rsid w:val="00361111"/>
    <w:rsid w:val="0036332B"/>
    <w:rsid w:val="003851DC"/>
    <w:rsid w:val="003A1733"/>
    <w:rsid w:val="003A7974"/>
    <w:rsid w:val="003A7B01"/>
    <w:rsid w:val="003B58B4"/>
    <w:rsid w:val="003C54F4"/>
    <w:rsid w:val="003E04A5"/>
    <w:rsid w:val="003E068A"/>
    <w:rsid w:val="003F3952"/>
    <w:rsid w:val="003F4691"/>
    <w:rsid w:val="00410A17"/>
    <w:rsid w:val="00497878"/>
    <w:rsid w:val="004C3497"/>
    <w:rsid w:val="004E2F22"/>
    <w:rsid w:val="004E63B4"/>
    <w:rsid w:val="00513622"/>
    <w:rsid w:val="00524EBF"/>
    <w:rsid w:val="00547F0E"/>
    <w:rsid w:val="00565B28"/>
    <w:rsid w:val="005700C6"/>
    <w:rsid w:val="00576B4F"/>
    <w:rsid w:val="00583595"/>
    <w:rsid w:val="00590946"/>
    <w:rsid w:val="005946FB"/>
    <w:rsid w:val="005B3BD3"/>
    <w:rsid w:val="005C4E2D"/>
    <w:rsid w:val="005E3594"/>
    <w:rsid w:val="005F1FF3"/>
    <w:rsid w:val="00624582"/>
    <w:rsid w:val="00641C91"/>
    <w:rsid w:val="00657707"/>
    <w:rsid w:val="00663541"/>
    <w:rsid w:val="00687651"/>
    <w:rsid w:val="00696599"/>
    <w:rsid w:val="006A197F"/>
    <w:rsid w:val="006A1E6C"/>
    <w:rsid w:val="006A2B67"/>
    <w:rsid w:val="006A595D"/>
    <w:rsid w:val="006B2919"/>
    <w:rsid w:val="006C154B"/>
    <w:rsid w:val="006E1B96"/>
    <w:rsid w:val="006F729C"/>
    <w:rsid w:val="00700C64"/>
    <w:rsid w:val="00710E6F"/>
    <w:rsid w:val="0074037C"/>
    <w:rsid w:val="00756EBB"/>
    <w:rsid w:val="007677CE"/>
    <w:rsid w:val="00780EF3"/>
    <w:rsid w:val="007C387A"/>
    <w:rsid w:val="007C5BB9"/>
    <w:rsid w:val="007D09CA"/>
    <w:rsid w:val="007D188F"/>
    <w:rsid w:val="007D20C6"/>
    <w:rsid w:val="007E60AF"/>
    <w:rsid w:val="007F76C7"/>
    <w:rsid w:val="00801C61"/>
    <w:rsid w:val="0081056E"/>
    <w:rsid w:val="008132D9"/>
    <w:rsid w:val="00855684"/>
    <w:rsid w:val="00864276"/>
    <w:rsid w:val="00882314"/>
    <w:rsid w:val="00884DBF"/>
    <w:rsid w:val="00886116"/>
    <w:rsid w:val="008A0E42"/>
    <w:rsid w:val="008E30AF"/>
    <w:rsid w:val="008F2160"/>
    <w:rsid w:val="0092642A"/>
    <w:rsid w:val="00926BD3"/>
    <w:rsid w:val="009355DB"/>
    <w:rsid w:val="00953F42"/>
    <w:rsid w:val="00957FFC"/>
    <w:rsid w:val="00973AA2"/>
    <w:rsid w:val="00980D7D"/>
    <w:rsid w:val="009932E7"/>
    <w:rsid w:val="009C705B"/>
    <w:rsid w:val="00A0267D"/>
    <w:rsid w:val="00A40A64"/>
    <w:rsid w:val="00A632F3"/>
    <w:rsid w:val="00A74BE5"/>
    <w:rsid w:val="00A80C1F"/>
    <w:rsid w:val="00A94A6F"/>
    <w:rsid w:val="00AA278C"/>
    <w:rsid w:val="00AA7CF6"/>
    <w:rsid w:val="00AB3F06"/>
    <w:rsid w:val="00AD07F1"/>
    <w:rsid w:val="00AD2658"/>
    <w:rsid w:val="00AE45A7"/>
    <w:rsid w:val="00AE7377"/>
    <w:rsid w:val="00B034CB"/>
    <w:rsid w:val="00B20454"/>
    <w:rsid w:val="00B31F33"/>
    <w:rsid w:val="00B40824"/>
    <w:rsid w:val="00B427C6"/>
    <w:rsid w:val="00B500F7"/>
    <w:rsid w:val="00B7792F"/>
    <w:rsid w:val="00B81BD7"/>
    <w:rsid w:val="00B915B7"/>
    <w:rsid w:val="00B9444C"/>
    <w:rsid w:val="00BB5F2D"/>
    <w:rsid w:val="00C369D1"/>
    <w:rsid w:val="00C773AE"/>
    <w:rsid w:val="00C9034B"/>
    <w:rsid w:val="00CA7B87"/>
    <w:rsid w:val="00CC3C09"/>
    <w:rsid w:val="00CC5BDE"/>
    <w:rsid w:val="00CE2E43"/>
    <w:rsid w:val="00CE5603"/>
    <w:rsid w:val="00D07536"/>
    <w:rsid w:val="00D17F28"/>
    <w:rsid w:val="00D2553A"/>
    <w:rsid w:val="00D3220F"/>
    <w:rsid w:val="00D344CD"/>
    <w:rsid w:val="00D60B28"/>
    <w:rsid w:val="00D74D4D"/>
    <w:rsid w:val="00D82F7C"/>
    <w:rsid w:val="00DD0434"/>
    <w:rsid w:val="00DD2DE7"/>
    <w:rsid w:val="00DE1B38"/>
    <w:rsid w:val="00DF4D04"/>
    <w:rsid w:val="00DF7407"/>
    <w:rsid w:val="00E05488"/>
    <w:rsid w:val="00E06E9A"/>
    <w:rsid w:val="00E306FB"/>
    <w:rsid w:val="00E34165"/>
    <w:rsid w:val="00E4108D"/>
    <w:rsid w:val="00E6043A"/>
    <w:rsid w:val="00E8621D"/>
    <w:rsid w:val="00E94FC4"/>
    <w:rsid w:val="00EF32C3"/>
    <w:rsid w:val="00F33811"/>
    <w:rsid w:val="00F344D0"/>
    <w:rsid w:val="00F61B89"/>
    <w:rsid w:val="00F7126A"/>
    <w:rsid w:val="00F81943"/>
    <w:rsid w:val="00F87C29"/>
    <w:rsid w:val="00FC50FC"/>
    <w:rsid w:val="00FE6E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25E8E2"/>
  <w15:docId w15:val="{E933DFB8-5E02-4ABA-BD69-A65082454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VE"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240" w:after="0"/>
      <w:outlineLvl w:val="0"/>
    </w:pPr>
    <w:rPr>
      <w:color w:val="2E75B5"/>
      <w:sz w:val="32"/>
      <w:szCs w:val="32"/>
    </w:rPr>
  </w:style>
  <w:style w:type="paragraph" w:styleId="Ttulo2">
    <w:name w:val="heading 2"/>
    <w:basedOn w:val="Normal"/>
    <w:next w:val="Normal"/>
    <w:pPr>
      <w:keepNext/>
      <w:keepLines/>
      <w:spacing w:before="40" w:after="0"/>
      <w:outlineLvl w:val="1"/>
    </w:pPr>
    <w:rPr>
      <w:color w:val="2E75B5"/>
      <w:sz w:val="26"/>
      <w:szCs w:val="2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pPr>
      <w:widowControl w:val="0"/>
      <w:spacing w:after="0" w:line="240" w:lineRule="auto"/>
      <w:jc w:val="center"/>
    </w:pPr>
    <w:rPr>
      <w:rFonts w:ascii="Arial" w:eastAsia="Arial" w:hAnsi="Arial" w:cs="Arial"/>
      <w:b/>
      <w:sz w:val="36"/>
      <w:szCs w:val="36"/>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C773A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73AE"/>
  </w:style>
  <w:style w:type="paragraph" w:styleId="Piedepgina">
    <w:name w:val="footer"/>
    <w:basedOn w:val="Normal"/>
    <w:link w:val="PiedepginaCar"/>
    <w:uiPriority w:val="99"/>
    <w:unhideWhenUsed/>
    <w:rsid w:val="00C773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73AE"/>
  </w:style>
  <w:style w:type="character" w:styleId="Hipervnculo">
    <w:name w:val="Hyperlink"/>
    <w:basedOn w:val="Fuentedeprrafopredeter"/>
    <w:uiPriority w:val="99"/>
    <w:unhideWhenUsed/>
    <w:rsid w:val="00C773AE"/>
    <w:rPr>
      <w:color w:val="0000FF"/>
      <w:u w:val="single"/>
    </w:rPr>
  </w:style>
  <w:style w:type="paragraph" w:styleId="Textodeglobo">
    <w:name w:val="Balloon Text"/>
    <w:basedOn w:val="Normal"/>
    <w:link w:val="TextodegloboCar"/>
    <w:uiPriority w:val="99"/>
    <w:semiHidden/>
    <w:unhideWhenUsed/>
    <w:rsid w:val="00C773A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773AE"/>
    <w:rPr>
      <w:rFonts w:ascii="Tahoma" w:hAnsi="Tahoma" w:cs="Tahoma"/>
      <w:sz w:val="16"/>
      <w:szCs w:val="16"/>
    </w:rPr>
  </w:style>
  <w:style w:type="character" w:customStyle="1" w:styleId="TtuloCar">
    <w:name w:val="Título Car"/>
    <w:basedOn w:val="Fuentedeprrafopredeter"/>
    <w:link w:val="Ttulo"/>
    <w:rsid w:val="00F87C29"/>
    <w:rPr>
      <w:rFonts w:ascii="Arial" w:eastAsia="Arial" w:hAnsi="Arial" w:cs="Arial"/>
      <w:b/>
      <w:sz w:val="36"/>
      <w:szCs w:val="36"/>
    </w:rPr>
  </w:style>
  <w:style w:type="paragraph" w:styleId="NormalWeb">
    <w:name w:val="Normal (Web)"/>
    <w:basedOn w:val="Normal"/>
    <w:uiPriority w:val="99"/>
    <w:unhideWhenUsed/>
    <w:rsid w:val="003A7974"/>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nfasis">
    <w:name w:val="Emphasis"/>
    <w:basedOn w:val="Fuentedeprrafopredeter"/>
    <w:uiPriority w:val="20"/>
    <w:qFormat/>
    <w:rsid w:val="00801C61"/>
    <w:rPr>
      <w:i/>
      <w:iCs/>
    </w:rPr>
  </w:style>
  <w:style w:type="character" w:customStyle="1" w:styleId="katex-mathml">
    <w:name w:val="katex-mathml"/>
    <w:basedOn w:val="Fuentedeprrafopredeter"/>
    <w:rsid w:val="00583595"/>
  </w:style>
  <w:style w:type="character" w:customStyle="1" w:styleId="mord">
    <w:name w:val="mord"/>
    <w:basedOn w:val="Fuentedeprrafopredeter"/>
    <w:rsid w:val="00583595"/>
  </w:style>
  <w:style w:type="character" w:customStyle="1" w:styleId="mopen">
    <w:name w:val="mopen"/>
    <w:basedOn w:val="Fuentedeprrafopredeter"/>
    <w:rsid w:val="00583595"/>
  </w:style>
  <w:style w:type="character" w:customStyle="1" w:styleId="mclose">
    <w:name w:val="mclose"/>
    <w:basedOn w:val="Fuentedeprrafopredeter"/>
    <w:rsid w:val="00583595"/>
  </w:style>
  <w:style w:type="character" w:customStyle="1" w:styleId="mrel">
    <w:name w:val="mrel"/>
    <w:basedOn w:val="Fuentedeprrafopredeter"/>
    <w:rsid w:val="00583595"/>
  </w:style>
  <w:style w:type="character" w:customStyle="1" w:styleId="vlist-s">
    <w:name w:val="vlist-s"/>
    <w:basedOn w:val="Fuentedeprrafopredeter"/>
    <w:rsid w:val="00583595"/>
  </w:style>
  <w:style w:type="character" w:customStyle="1" w:styleId="mbin">
    <w:name w:val="mbin"/>
    <w:basedOn w:val="Fuentedeprrafopredeter"/>
    <w:rsid w:val="00583595"/>
  </w:style>
  <w:style w:type="character" w:styleId="Textodelmarcadordeposicin">
    <w:name w:val="Placeholder Text"/>
    <w:basedOn w:val="Fuentedeprrafopredeter"/>
    <w:uiPriority w:val="99"/>
    <w:semiHidden/>
    <w:rsid w:val="007D20C6"/>
    <w:rPr>
      <w:color w:val="808080"/>
    </w:rPr>
  </w:style>
  <w:style w:type="character" w:styleId="Textoennegrita">
    <w:name w:val="Strong"/>
    <w:basedOn w:val="Fuentedeprrafopredeter"/>
    <w:uiPriority w:val="22"/>
    <w:qFormat/>
    <w:rsid w:val="00700C64"/>
    <w:rPr>
      <w:b/>
      <w:bCs/>
    </w:rPr>
  </w:style>
  <w:style w:type="character" w:customStyle="1" w:styleId="delimsizing">
    <w:name w:val="delimsizing"/>
    <w:basedOn w:val="Fuentedeprrafopredeter"/>
    <w:rsid w:val="00700C64"/>
  </w:style>
  <w:style w:type="paragraph" w:styleId="Prrafodelista">
    <w:name w:val="List Paragraph"/>
    <w:basedOn w:val="Normal"/>
    <w:uiPriority w:val="34"/>
    <w:qFormat/>
    <w:rsid w:val="00700C64"/>
    <w:pPr>
      <w:ind w:left="720"/>
      <w:contextualSpacing/>
    </w:pPr>
  </w:style>
  <w:style w:type="paragraph" w:styleId="TDC1">
    <w:name w:val="toc 1"/>
    <w:basedOn w:val="Normal"/>
    <w:next w:val="Normal"/>
    <w:autoRedefine/>
    <w:uiPriority w:val="39"/>
    <w:unhideWhenUsed/>
    <w:rsid w:val="002035D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620434">
      <w:bodyDiv w:val="1"/>
      <w:marLeft w:val="0"/>
      <w:marRight w:val="0"/>
      <w:marTop w:val="0"/>
      <w:marBottom w:val="0"/>
      <w:divBdr>
        <w:top w:val="none" w:sz="0" w:space="0" w:color="auto"/>
        <w:left w:val="none" w:sz="0" w:space="0" w:color="auto"/>
        <w:bottom w:val="none" w:sz="0" w:space="0" w:color="auto"/>
        <w:right w:val="none" w:sz="0" w:space="0" w:color="auto"/>
      </w:divBdr>
    </w:div>
    <w:div w:id="239950038">
      <w:bodyDiv w:val="1"/>
      <w:marLeft w:val="0"/>
      <w:marRight w:val="0"/>
      <w:marTop w:val="0"/>
      <w:marBottom w:val="0"/>
      <w:divBdr>
        <w:top w:val="none" w:sz="0" w:space="0" w:color="auto"/>
        <w:left w:val="none" w:sz="0" w:space="0" w:color="auto"/>
        <w:bottom w:val="none" w:sz="0" w:space="0" w:color="auto"/>
        <w:right w:val="none" w:sz="0" w:space="0" w:color="auto"/>
      </w:divBdr>
    </w:div>
    <w:div w:id="269358888">
      <w:bodyDiv w:val="1"/>
      <w:marLeft w:val="0"/>
      <w:marRight w:val="0"/>
      <w:marTop w:val="0"/>
      <w:marBottom w:val="0"/>
      <w:divBdr>
        <w:top w:val="none" w:sz="0" w:space="0" w:color="auto"/>
        <w:left w:val="none" w:sz="0" w:space="0" w:color="auto"/>
        <w:bottom w:val="none" w:sz="0" w:space="0" w:color="auto"/>
        <w:right w:val="none" w:sz="0" w:space="0" w:color="auto"/>
      </w:divBdr>
    </w:div>
    <w:div w:id="372267753">
      <w:bodyDiv w:val="1"/>
      <w:marLeft w:val="0"/>
      <w:marRight w:val="0"/>
      <w:marTop w:val="0"/>
      <w:marBottom w:val="0"/>
      <w:divBdr>
        <w:top w:val="none" w:sz="0" w:space="0" w:color="auto"/>
        <w:left w:val="none" w:sz="0" w:space="0" w:color="auto"/>
        <w:bottom w:val="none" w:sz="0" w:space="0" w:color="auto"/>
        <w:right w:val="none" w:sz="0" w:space="0" w:color="auto"/>
      </w:divBdr>
    </w:div>
    <w:div w:id="381445089">
      <w:bodyDiv w:val="1"/>
      <w:marLeft w:val="0"/>
      <w:marRight w:val="0"/>
      <w:marTop w:val="0"/>
      <w:marBottom w:val="0"/>
      <w:divBdr>
        <w:top w:val="none" w:sz="0" w:space="0" w:color="auto"/>
        <w:left w:val="none" w:sz="0" w:space="0" w:color="auto"/>
        <w:bottom w:val="none" w:sz="0" w:space="0" w:color="auto"/>
        <w:right w:val="none" w:sz="0" w:space="0" w:color="auto"/>
      </w:divBdr>
    </w:div>
    <w:div w:id="409933604">
      <w:bodyDiv w:val="1"/>
      <w:marLeft w:val="0"/>
      <w:marRight w:val="0"/>
      <w:marTop w:val="0"/>
      <w:marBottom w:val="0"/>
      <w:divBdr>
        <w:top w:val="none" w:sz="0" w:space="0" w:color="auto"/>
        <w:left w:val="none" w:sz="0" w:space="0" w:color="auto"/>
        <w:bottom w:val="none" w:sz="0" w:space="0" w:color="auto"/>
        <w:right w:val="none" w:sz="0" w:space="0" w:color="auto"/>
      </w:divBdr>
    </w:div>
    <w:div w:id="649673714">
      <w:bodyDiv w:val="1"/>
      <w:marLeft w:val="0"/>
      <w:marRight w:val="0"/>
      <w:marTop w:val="0"/>
      <w:marBottom w:val="0"/>
      <w:divBdr>
        <w:top w:val="none" w:sz="0" w:space="0" w:color="auto"/>
        <w:left w:val="none" w:sz="0" w:space="0" w:color="auto"/>
        <w:bottom w:val="none" w:sz="0" w:space="0" w:color="auto"/>
        <w:right w:val="none" w:sz="0" w:space="0" w:color="auto"/>
      </w:divBdr>
    </w:div>
    <w:div w:id="700593329">
      <w:bodyDiv w:val="1"/>
      <w:marLeft w:val="0"/>
      <w:marRight w:val="0"/>
      <w:marTop w:val="0"/>
      <w:marBottom w:val="0"/>
      <w:divBdr>
        <w:top w:val="none" w:sz="0" w:space="0" w:color="auto"/>
        <w:left w:val="none" w:sz="0" w:space="0" w:color="auto"/>
        <w:bottom w:val="none" w:sz="0" w:space="0" w:color="auto"/>
        <w:right w:val="none" w:sz="0" w:space="0" w:color="auto"/>
      </w:divBdr>
    </w:div>
    <w:div w:id="707997291">
      <w:bodyDiv w:val="1"/>
      <w:marLeft w:val="0"/>
      <w:marRight w:val="0"/>
      <w:marTop w:val="0"/>
      <w:marBottom w:val="0"/>
      <w:divBdr>
        <w:top w:val="none" w:sz="0" w:space="0" w:color="auto"/>
        <w:left w:val="none" w:sz="0" w:space="0" w:color="auto"/>
        <w:bottom w:val="none" w:sz="0" w:space="0" w:color="auto"/>
        <w:right w:val="none" w:sz="0" w:space="0" w:color="auto"/>
      </w:divBdr>
    </w:div>
    <w:div w:id="979578047">
      <w:bodyDiv w:val="1"/>
      <w:marLeft w:val="0"/>
      <w:marRight w:val="0"/>
      <w:marTop w:val="0"/>
      <w:marBottom w:val="0"/>
      <w:divBdr>
        <w:top w:val="none" w:sz="0" w:space="0" w:color="auto"/>
        <w:left w:val="none" w:sz="0" w:space="0" w:color="auto"/>
        <w:bottom w:val="none" w:sz="0" w:space="0" w:color="auto"/>
        <w:right w:val="none" w:sz="0" w:space="0" w:color="auto"/>
      </w:divBdr>
    </w:div>
    <w:div w:id="1110322189">
      <w:bodyDiv w:val="1"/>
      <w:marLeft w:val="0"/>
      <w:marRight w:val="0"/>
      <w:marTop w:val="0"/>
      <w:marBottom w:val="0"/>
      <w:divBdr>
        <w:top w:val="none" w:sz="0" w:space="0" w:color="auto"/>
        <w:left w:val="none" w:sz="0" w:space="0" w:color="auto"/>
        <w:bottom w:val="none" w:sz="0" w:space="0" w:color="auto"/>
        <w:right w:val="none" w:sz="0" w:space="0" w:color="auto"/>
      </w:divBdr>
    </w:div>
    <w:div w:id="1211259462">
      <w:bodyDiv w:val="1"/>
      <w:marLeft w:val="0"/>
      <w:marRight w:val="0"/>
      <w:marTop w:val="0"/>
      <w:marBottom w:val="0"/>
      <w:divBdr>
        <w:top w:val="none" w:sz="0" w:space="0" w:color="auto"/>
        <w:left w:val="none" w:sz="0" w:space="0" w:color="auto"/>
        <w:bottom w:val="none" w:sz="0" w:space="0" w:color="auto"/>
        <w:right w:val="none" w:sz="0" w:space="0" w:color="auto"/>
      </w:divBdr>
    </w:div>
    <w:div w:id="1219588217">
      <w:bodyDiv w:val="1"/>
      <w:marLeft w:val="0"/>
      <w:marRight w:val="0"/>
      <w:marTop w:val="0"/>
      <w:marBottom w:val="0"/>
      <w:divBdr>
        <w:top w:val="none" w:sz="0" w:space="0" w:color="auto"/>
        <w:left w:val="none" w:sz="0" w:space="0" w:color="auto"/>
        <w:bottom w:val="none" w:sz="0" w:space="0" w:color="auto"/>
        <w:right w:val="none" w:sz="0" w:space="0" w:color="auto"/>
      </w:divBdr>
    </w:div>
    <w:div w:id="1278946676">
      <w:bodyDiv w:val="1"/>
      <w:marLeft w:val="0"/>
      <w:marRight w:val="0"/>
      <w:marTop w:val="0"/>
      <w:marBottom w:val="0"/>
      <w:divBdr>
        <w:top w:val="none" w:sz="0" w:space="0" w:color="auto"/>
        <w:left w:val="none" w:sz="0" w:space="0" w:color="auto"/>
        <w:bottom w:val="none" w:sz="0" w:space="0" w:color="auto"/>
        <w:right w:val="none" w:sz="0" w:space="0" w:color="auto"/>
      </w:divBdr>
    </w:div>
    <w:div w:id="1325082104">
      <w:bodyDiv w:val="1"/>
      <w:marLeft w:val="0"/>
      <w:marRight w:val="0"/>
      <w:marTop w:val="0"/>
      <w:marBottom w:val="0"/>
      <w:divBdr>
        <w:top w:val="none" w:sz="0" w:space="0" w:color="auto"/>
        <w:left w:val="none" w:sz="0" w:space="0" w:color="auto"/>
        <w:bottom w:val="none" w:sz="0" w:space="0" w:color="auto"/>
        <w:right w:val="none" w:sz="0" w:space="0" w:color="auto"/>
      </w:divBdr>
    </w:div>
    <w:div w:id="1356034999">
      <w:bodyDiv w:val="1"/>
      <w:marLeft w:val="0"/>
      <w:marRight w:val="0"/>
      <w:marTop w:val="0"/>
      <w:marBottom w:val="0"/>
      <w:divBdr>
        <w:top w:val="none" w:sz="0" w:space="0" w:color="auto"/>
        <w:left w:val="none" w:sz="0" w:space="0" w:color="auto"/>
        <w:bottom w:val="none" w:sz="0" w:space="0" w:color="auto"/>
        <w:right w:val="none" w:sz="0" w:space="0" w:color="auto"/>
      </w:divBdr>
    </w:div>
    <w:div w:id="1395548048">
      <w:bodyDiv w:val="1"/>
      <w:marLeft w:val="0"/>
      <w:marRight w:val="0"/>
      <w:marTop w:val="0"/>
      <w:marBottom w:val="0"/>
      <w:divBdr>
        <w:top w:val="none" w:sz="0" w:space="0" w:color="auto"/>
        <w:left w:val="none" w:sz="0" w:space="0" w:color="auto"/>
        <w:bottom w:val="none" w:sz="0" w:space="0" w:color="auto"/>
        <w:right w:val="none" w:sz="0" w:space="0" w:color="auto"/>
      </w:divBdr>
    </w:div>
    <w:div w:id="1407998702">
      <w:bodyDiv w:val="1"/>
      <w:marLeft w:val="0"/>
      <w:marRight w:val="0"/>
      <w:marTop w:val="0"/>
      <w:marBottom w:val="0"/>
      <w:divBdr>
        <w:top w:val="none" w:sz="0" w:space="0" w:color="auto"/>
        <w:left w:val="none" w:sz="0" w:space="0" w:color="auto"/>
        <w:bottom w:val="none" w:sz="0" w:space="0" w:color="auto"/>
        <w:right w:val="none" w:sz="0" w:space="0" w:color="auto"/>
      </w:divBdr>
    </w:div>
    <w:div w:id="1843743193">
      <w:bodyDiv w:val="1"/>
      <w:marLeft w:val="0"/>
      <w:marRight w:val="0"/>
      <w:marTop w:val="0"/>
      <w:marBottom w:val="0"/>
      <w:divBdr>
        <w:top w:val="none" w:sz="0" w:space="0" w:color="auto"/>
        <w:left w:val="none" w:sz="0" w:space="0" w:color="auto"/>
        <w:bottom w:val="none" w:sz="0" w:space="0" w:color="auto"/>
        <w:right w:val="none" w:sz="0" w:space="0" w:color="auto"/>
      </w:divBdr>
    </w:div>
    <w:div w:id="1861822651">
      <w:bodyDiv w:val="1"/>
      <w:marLeft w:val="0"/>
      <w:marRight w:val="0"/>
      <w:marTop w:val="0"/>
      <w:marBottom w:val="0"/>
      <w:divBdr>
        <w:top w:val="none" w:sz="0" w:space="0" w:color="auto"/>
        <w:left w:val="none" w:sz="0" w:space="0" w:color="auto"/>
        <w:bottom w:val="none" w:sz="0" w:space="0" w:color="auto"/>
        <w:right w:val="none" w:sz="0" w:space="0" w:color="auto"/>
      </w:divBdr>
    </w:div>
    <w:div w:id="19132748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sv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232</TotalTime>
  <Pages>7</Pages>
  <Words>1460</Words>
  <Characters>8032</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Ivan Alejandro Noriega Llerena</dc:creator>
  <cp:lastModifiedBy>ALUMNO - IVAN ALEJANDRO NORIEGA LLERENA</cp:lastModifiedBy>
  <cp:revision>174</cp:revision>
  <cp:lastPrinted>2026-04-17T13:34:00Z</cp:lastPrinted>
  <dcterms:created xsi:type="dcterms:W3CDTF">2020-04-04T17:39:00Z</dcterms:created>
  <dcterms:modified xsi:type="dcterms:W3CDTF">2026-04-17T13:34:00Z</dcterms:modified>
</cp:coreProperties>
</file>