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Malgun Gothic" w:hAnsi="Malgun Gothic"/>
          <w:b/>
          <w:color w:val="0F2C59"/>
        </w:rPr>
        <w:t>MASTER STRATEGIC CONTEXT &amp; AI SECOND-OPINION REVIEW DOSSIER</w:t>
      </w:r>
    </w:p>
    <w:p>
      <w:pPr>
        <w:pStyle w:val="Heading2"/>
        <w:spacing w:before="200" w:after="80"/>
      </w:pPr>
      <w:r>
        <w:rPr>
          <w:rFonts w:ascii="Malgun Gothic" w:hAnsi="Malgun Gothic"/>
          <w:b/>
          <w:color w:val="1B4B82"/>
        </w:rPr>
        <w:t>DB손해보험 5,000만원 가지급금 청구 사건 총괄 배경·법리 구조 및 타 인공지능(AI) 검토용 종합 브리프</w:t>
      </w:r>
    </w:p>
    <w:p/>
    <w:p>
      <w:pPr>
        <w:spacing w:before="120" w:after="120"/>
        <w:pBdr>
          <w:bottom w:val="single" w:sz="6" w:space="1" w:color="D0D7DE"/>
        </w:pBdr>
      </w:pPr>
    </w:p>
    <w:p/>
    <w:p>
      <w:pPr>
        <w:spacing w:line="276" w:lineRule="auto" w:after="60"/>
      </w:pPr>
      <w:r>
        <w:rPr>
          <w:rFonts w:ascii="Malgun Gothic" w:hAnsi="Malgun Gothic"/>
        </w:rPr>
      </w:r>
      <w:r>
        <w:rPr>
          <w:rFonts w:ascii="Malgun Gothic" w:hAnsi="Malgun Gothic"/>
          <w:b/>
        </w:rPr>
        <w:t>Document Control ID:</w:t>
      </w:r>
      <w:r>
        <w:rPr>
          <w:rFonts w:ascii="Malgun Gothic" w:hAnsi="Malgun Gothic"/>
        </w:rPr>
        <w:t xml:space="preserve"> AI-REVIEW-DB50M-2026-0908  </w:t>
      </w:r>
    </w:p>
    <w:p>
      <w:pPr>
        <w:spacing w:line="276" w:lineRule="auto" w:after="60"/>
      </w:pPr>
      <w:r>
        <w:rPr>
          <w:rFonts w:ascii="Malgun Gothic" w:hAnsi="Malgun Gothic"/>
        </w:rPr>
      </w:r>
      <w:r>
        <w:rPr>
          <w:rFonts w:ascii="Malgun Gothic" w:hAnsi="Malgun Gothic"/>
          <w:b/>
        </w:rPr>
        <w:t>Purpose:</w:t>
      </w:r>
      <w:r>
        <w:rPr>
          <w:rFonts w:ascii="Malgun Gothic" w:hAnsi="Malgun Gothic"/>
        </w:rPr>
        <w:t xml:space="preserve"> Comprehensive Single Source of Truth (SSOT) explaining the entire factual chronology, legal doctrines, statutory calculations, and strategic intentions behind the Bangladesh Direct Filing package.  </w:t>
      </w:r>
    </w:p>
    <w:p>
      <w:pPr>
        <w:spacing w:line="276" w:lineRule="auto" w:after="60"/>
      </w:pPr>
      <w:r>
        <w:rPr>
          <w:rFonts w:ascii="Malgun Gothic" w:hAnsi="Malgun Gothic"/>
        </w:rPr>
      </w:r>
      <w:r>
        <w:rPr>
          <w:rFonts w:ascii="Malgun Gothic" w:hAnsi="Malgun Gothic"/>
          <w:b/>
        </w:rPr>
        <w:t>Intended Use:</w:t>
      </w:r>
      <w:r>
        <w:rPr>
          <w:rFonts w:ascii="Malgun Gothic" w:hAnsi="Malgun Gothic"/>
        </w:rPr>
        <w:t xml:space="preserve"> Can be fed directly into any advanced AI model (Claude 3.5 Sonnet, GPT-4o, Gemini 1.5 Pro, Legal AI Agents) for adversarial cross-examination, risk auditing, and strategy refinement.  </w:t>
      </w:r>
    </w:p>
    <w:p/>
    <w:p>
      <w:pPr>
        <w:spacing w:before="120" w:after="120"/>
        <w:pBdr>
          <w:bottom w:val="single" w:sz="6" w:space="1" w:color="D0D7DE"/>
        </w:pBdr>
      </w:pPr>
    </w:p>
    <w:p/>
    <w:p>
      <w:pPr>
        <w:pStyle w:val="Heading1"/>
        <w:spacing w:before="240" w:after="120"/>
      </w:pPr>
      <w:r>
        <w:rPr>
          <w:rFonts w:ascii="Malgun Gothic" w:hAnsi="Malgun Gothic"/>
          <w:b/>
          <w:color w:val="0F2C59"/>
        </w:rPr>
        <w:t>SECTION 1: INSTRUCTIONS FOR AI REVIEWERS (타 AI 모델 검토 가이드)</w:t>
      </w:r>
    </w:p>
    <w:p/>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 🤖 PROMPT TEMPLATE TO PASTE INTO CLAUDE / CHATGPT / GEMINI:</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You are a Senior Cross-Border Insurance Litigation Partner and Korean Commercial Law Specialist.</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Review the following comprehensive case dossier and strategic filings prepared by the legal team</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representing the surviving parents in Bangladesh of deceased foreign student MAHADI MONOAR HOSSAIN.</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The immediate operational goal is to recover the KRW 50,000,000 (50M KRW) provisional advance payment</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(상법 제732조의2 가지급보험금) from DB Insurance Co., Ltd. under Policy No. 2-2026-0531750-000.</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Please conduct an adversarial legal review addressing:</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1. Statutory robustness of the Commercial Code §732-2 provisional payment demand.</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2. Enforceability of Supreme Court En Banc Decision 98Da48963 against unlicensed driving exclusions.</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3. Validity of the Bangladesh Sunni Hanafi heirship apportionment (Father 2/3, Mother 1/3) under Private International Law Art. 49.</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4. Effectiveness of Special Power of Attorney Clause 6 authorizing wire transfer to Mutual Trust Bank PLC.</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5. Any potential procedural vulnerabilities or tactics DB Insurance might deploy to delay payment past Day 10.</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w:t>
            </w:r>
          </w:p>
        </w:tc>
      </w:tr>
    </w:tbl>
    <w:p/>
    <w:p>
      <w:pPr>
        <w:spacing w:before="120" w:after="120"/>
        <w:pBdr>
          <w:bottom w:val="single" w:sz="6" w:space="1" w:color="D0D7DE"/>
        </w:pBdr>
      </w:pPr>
    </w:p>
    <w:p/>
    <w:p>
      <w:pPr>
        <w:pStyle w:val="Heading1"/>
        <w:spacing w:before="240" w:after="120"/>
      </w:pPr>
      <w:r>
        <w:rPr>
          <w:rFonts w:ascii="Malgun Gothic" w:hAnsi="Malgun Gothic"/>
          <w:b/>
          <w:color w:val="0F2C59"/>
        </w:rPr>
        <w:t>SECTION 2: THE COMPLETE FACTUAL PICTURE (사건의 전체적 사실관계)</w:t>
      </w:r>
    </w:p>
    <w:p/>
    <w:p>
      <w:pPr>
        <w:pStyle w:val="Heading3"/>
        <w:spacing w:before="160" w:after="40"/>
      </w:pPr>
      <w:r>
        <w:rPr>
          <w:rFonts w:ascii="Malgun Gothic" w:hAnsi="Malgun Gothic"/>
          <w:b/>
          <w:color w:val="333333"/>
        </w:rPr>
        <w:t>2.1 The Deceased Student &amp; Incident Profile</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Name of Deceased:</w:t>
      </w:r>
      <w:r>
        <w:rPr>
          <w:rFonts w:ascii="Malgun Gothic" w:hAnsi="Malgun Gothic"/>
        </w:rPr>
        <w:t xml:space="preserve">* MAHADI MONOAR HOSSAIN (마하디 모노아르 후세인 / Passport: </w:t>
      </w:r>
      <w:r>
        <w:rPr>
          <w:rFonts w:ascii="Consolas" w:hAnsi="Consolas"/>
          <w:color w:val="C7254E"/>
          <w:sz w:val="18"/>
        </w:rPr>
        <w:t>MONOAR HOSSAIN MAHADI</w:t>
      </w:r>
      <w:r>
        <w:rPr>
          <w:rFonts w:ascii="Malgun Gothic" w:hAnsi="Malgun Gothic"/>
        </w:rPr>
        <w:t>)</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Alien Registration No (ARC):</w:t>
      </w:r>
      <w:r>
        <w:rPr>
          <w:rFonts w:ascii="Malgun Gothic" w:hAnsi="Malgun Gothic"/>
        </w:rPr>
        <w:t xml:space="preserve">* </w:t>
      </w:r>
      <w:r>
        <w:rPr>
          <w:rFonts w:ascii="Consolas" w:hAnsi="Consolas"/>
          <w:color w:val="C7254E"/>
          <w:sz w:val="18"/>
        </w:rPr>
        <w:t>010530-7660021</w:t>
      </w:r>
      <w:r>
        <w:rPr>
          <w:rFonts w:ascii="Malgun Gothic" w:hAnsi="Malgun Gothic"/>
        </w:rPr>
        <w:t xml:space="preserve"> (DOB: May 30, 2001 / Age 24 / Single / Male)</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Passport No:</w:t>
      </w:r>
      <w:r>
        <w:rPr>
          <w:rFonts w:ascii="Malgun Gothic" w:hAnsi="Malgun Gothic"/>
        </w:rPr>
        <w:t xml:space="preserve">* </w:t>
      </w:r>
      <w:r>
        <w:rPr>
          <w:rFonts w:ascii="Consolas" w:hAnsi="Consolas"/>
          <w:color w:val="C7254E"/>
          <w:sz w:val="18"/>
        </w:rPr>
        <w:t>A03097931</w:t>
      </w:r>
      <w:r>
        <w:rPr>
          <w:rFonts w:ascii="Malgun Gothic" w:hAnsi="Malgun Gothic"/>
        </w:rPr>
        <w:t xml:space="preserve"> (Personal ID: </w:t>
      </w:r>
      <w:r>
        <w:rPr>
          <w:rFonts w:ascii="Consolas" w:hAnsi="Consolas"/>
          <w:color w:val="C7254E"/>
          <w:sz w:val="18"/>
        </w:rPr>
        <w:t>7362790417</w:t>
      </w:r>
      <w:r>
        <w:rPr>
          <w:rFonts w:ascii="Malgun Gothic" w:hAnsi="Malgun Gothic"/>
        </w:rPr>
        <w:t>)</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Visa Status:</w:t>
      </w:r>
      <w:r>
        <w:rPr>
          <w:rFonts w:ascii="Malgun Gothic" w:hAnsi="Malgun Gothic"/>
        </w:rPr>
        <w:t>* D-2 Student Visa (춘천출입국·외국인사무소 속초출장소)</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University:</w:t>
      </w:r>
      <w:r>
        <w:rPr>
          <w:rFonts w:ascii="Malgun Gothic" w:hAnsi="Malgun Gothic"/>
        </w:rPr>
        <w:t xml:space="preserve">* Seojeong University (서정대학교 스마트자동차과 1학년 / Student ID: </w:t>
      </w:r>
      <w:r>
        <w:rPr>
          <w:rFonts w:ascii="Consolas" w:hAnsi="Consolas"/>
          <w:color w:val="C7254E"/>
          <w:sz w:val="18"/>
        </w:rPr>
        <w:t>202581042</w:t>
      </w:r>
      <w:r>
        <w:rPr>
          <w:rFonts w:ascii="Malgun Gothic" w:hAnsi="Malgun Gothic"/>
        </w:rPr>
        <w:t>)</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Incident Date &amp; Time:</w:t>
      </w:r>
      <w:r>
        <w:rPr>
          <w:rFonts w:ascii="Malgun Gothic" w:hAnsi="Malgun Gothic"/>
        </w:rPr>
        <w:t>* March 14, 2026 at approximately 05:58 AM KST</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Incident Location:</w:t>
      </w:r>
      <w:r>
        <w:rPr>
          <w:rFonts w:ascii="Malgun Gothic" w:hAnsi="Malgun Gothic"/>
        </w:rPr>
        <w:t>* Public Highway at Bukbun-ri 4-1, Hyeonnam-myeon, Yangyang-gun, Gangwon State (7번 국도)</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Accident Mechanics:</w:t>
      </w:r>
      <w:r>
        <w:rPr>
          <w:rFonts w:ascii="Malgun Gothic" w:hAnsi="Malgun Gothic"/>
        </w:rPr>
        <w:t>* Single-vehicle collision; the car went off the road and collided with a roadside guardrail.</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Investigating Police:</w:t>
      </w:r>
      <w:r>
        <w:rPr>
          <w:rFonts w:ascii="Malgun Gothic" w:hAnsi="Malgun Gothic"/>
        </w:rPr>
        <w:t xml:space="preserve">* Gangwon Sokcho Police Station Traffic Accident Investigation Unit (Case No: </w:t>
      </w:r>
      <w:r>
        <w:rPr>
          <w:rFonts w:ascii="Consolas" w:hAnsi="Consolas"/>
          <w:color w:val="C7254E"/>
          <w:sz w:val="18"/>
        </w:rPr>
        <w:t>2026-00020</w:t>
      </w:r>
      <w:r>
        <w:rPr>
          <w:rFonts w:ascii="Malgun Gothic" w:hAnsi="Malgun Gothic"/>
        </w:rPr>
        <w:t>, Lt. Jo Hyeong-cheol).</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Forensic &amp; Medical Findings:</w:t>
      </w:r>
      <w:r>
        <w:rPr>
          <w:rFonts w:ascii="Malgun Gothic" w:hAnsi="Malgun Gothic"/>
        </w:rPr>
        <w:t>* GangNeung Asan Hospital Dr. Huidong Kang certified cause of death as severe traumatic brain injury (TBI), skull fracture, and extensive brainstem damage.</w:t>
      </w:r>
    </w:p>
    <w:p/>
    <w:p>
      <w:pPr>
        <w:pStyle w:val="Heading3"/>
        <w:spacing w:before="160" w:after="40"/>
      </w:pPr>
      <w:r>
        <w:rPr>
          <w:rFonts w:ascii="Malgun Gothic" w:hAnsi="Malgun Gothic"/>
          <w:b/>
          <w:color w:val="333333"/>
        </w:rPr>
        <w:t>2.2 The Target Automobile Insurance Contract</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Insurer:</w:t>
      </w:r>
      <w:r>
        <w:rPr>
          <w:rFonts w:ascii="Malgun Gothic" w:hAnsi="Malgun Gothic"/>
        </w:rPr>
        <w:t>* DB Insurance Co., Ltd. (DB손해보험주식회사 / CEO Jeong Jong-pyo)</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Official Policy Number:</w:t>
      </w:r>
      <w:r>
        <w:rPr>
          <w:rFonts w:ascii="Malgun Gothic" w:hAnsi="Malgun Gothic"/>
        </w:rPr>
        <w:t xml:space="preserve">* </w:t>
      </w:r>
      <w:r>
        <w:rPr>
          <w:rFonts w:ascii="Consolas" w:hAnsi="Consolas"/>
          <w:color w:val="C7254E"/>
          <w:sz w:val="18"/>
        </w:rPr>
        <w:t>2-2026-0531750-000</w:t>
      </w:r>
      <w:r>
        <w:rPr>
          <w:rFonts w:ascii="Malgun Gothic" w:hAnsi="Malgun Gothic"/>
        </w:rPr>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Product Name:</w:t>
      </w:r>
      <w:r>
        <w:rPr>
          <w:rFonts w:ascii="Malgun Gothic" w:hAnsi="Malgun Gothic"/>
        </w:rPr>
        <w:t>* 프로미카개인용(베이직형)자동차보험 (Promy Car Basic Auto Policy)</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Subject Vehicle:</w:t>
      </w:r>
      <w:r>
        <w:rPr>
          <w:rFonts w:ascii="Malgun Gothic" w:hAnsi="Malgun Gothic"/>
        </w:rPr>
        <w:t xml:space="preserve">* 2012 올뉴모닝 (Plate: </w:t>
      </w:r>
      <w:r>
        <w:rPr>
          <w:rFonts w:ascii="Consolas" w:hAnsi="Consolas"/>
          <w:color w:val="C7254E"/>
          <w:sz w:val="18"/>
        </w:rPr>
        <w:t>28모1390</w:t>
      </w:r>
      <w:r>
        <w:rPr>
          <w:rFonts w:ascii="Malgun Gothic" w:hAnsi="Malgun Gothic"/>
        </w:rPr>
        <w:t xml:space="preserve"> / Chassis VIN: </w:t>
      </w:r>
      <w:r>
        <w:rPr>
          <w:rFonts w:ascii="Consolas" w:hAnsi="Consolas"/>
          <w:color w:val="C7254E"/>
          <w:sz w:val="18"/>
        </w:rPr>
        <w:t>KNABE511BCT380523</w:t>
      </w:r>
      <w:r>
        <w:rPr>
          <w:rFonts w:ascii="Malgun Gothic" w:hAnsi="Malgun Gothic"/>
        </w:rPr>
        <w:t>)</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Policy Period:</w:t>
      </w:r>
      <w:r>
        <w:rPr>
          <w:rFonts w:ascii="Malgun Gothic" w:hAnsi="Malgun Gothic"/>
        </w:rPr>
        <w:t>* 2026년 01월 21일 ~ 2026년 04월 21일 (Active 52 days prior to and during the crash)</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Premium Paid:</w:t>
      </w:r>
      <w:r>
        <w:rPr>
          <w:rFonts w:ascii="Malgun Gothic" w:hAnsi="Malgun Gothic"/>
        </w:rPr>
        <w:t>* KRW 317,600 (일시납 완납)</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Managing Branch &amp; Agent:</w:t>
      </w:r>
      <w:r>
        <w:rPr>
          <w:rFonts w:ascii="Malgun Gothic" w:hAnsi="Malgun Gothic"/>
        </w:rPr>
      </w:r>
      <w:r>
        <w:rPr>
          <w:rFonts w:ascii="Malgun Gothic" w:hAnsi="Malgun Gothic"/>
          <w:i/>
        </w:rPr>
        <w:t xml:space="preserve"> DB Insurance Gangneung Business Dept / Gangneung Sokcho Branch, Agent </w:t>
      </w:r>
      <w:r>
        <w:rPr>
          <w:rFonts w:ascii="Malgun Gothic" w:hAnsi="Malgun Gothic"/>
        </w:rPr>
      </w:r>
      <w:r>
        <w:rPr>
          <w:rFonts w:ascii="Malgun Gothic" w:hAnsi="Malgun Gothic"/>
          <w:i/>
        </w:rPr>
        <w:t>이덕만 (Lee Deok-man, Direct Tel: `010-5379-6099` / Customer Desk: `1588-0100`)</w:t>
      </w:r>
      <w:r>
        <w:rPr>
          <w:rFonts w:ascii="Malgun Gothic" w:hAnsi="Malgun Gothic"/>
        </w:rPr>
        <w:t>*.</w:t>
      </w:r>
    </w:p>
    <w:p/>
    <w:p>
      <w:pPr>
        <w:pStyle w:val="Heading3"/>
        <w:spacing w:before="160" w:after="40"/>
      </w:pPr>
      <w:r>
        <w:rPr>
          <w:rFonts w:ascii="Malgun Gothic" w:hAnsi="Malgun Gothic"/>
          <w:b/>
          <w:color w:val="333333"/>
        </w:rPr>
        <w:t>2.3 The Surviving Heirs &amp; Representation</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Father (부):</w:t>
      </w:r>
      <w:r>
        <w:rPr>
          <w:rFonts w:ascii="Malgun Gothic" w:hAnsi="Malgun Gothic"/>
        </w:rPr>
        <w:t xml:space="preserve">* BELAL HOSSAIN (NID: </w:t>
      </w:r>
      <w:r>
        <w:rPr>
          <w:rFonts w:ascii="Consolas" w:hAnsi="Consolas"/>
          <w:color w:val="C7254E"/>
          <w:sz w:val="18"/>
        </w:rPr>
        <w:t>7802539200</w:t>
      </w:r>
      <w:r>
        <w:rPr>
          <w:rFonts w:ascii="Malgun Gothic" w:hAnsi="Malgun Gothic"/>
        </w:rPr>
        <w:t xml:space="preserve"> / Passport: </w:t>
      </w:r>
      <w:r>
        <w:rPr>
          <w:rFonts w:ascii="Consolas" w:hAnsi="Consolas"/>
          <w:color w:val="C7254E"/>
          <w:sz w:val="18"/>
        </w:rPr>
        <w:t>A08912455</w:t>
      </w:r>
      <w:r>
        <w:rPr>
          <w:rFonts w:ascii="Malgun Gothic" w:hAnsi="Malgun Gothic"/>
        </w:rPr>
        <w:t>) — 2/3 Statutory Share (66.667%)</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Mother (모):</w:t>
      </w:r>
      <w:r>
        <w:rPr>
          <w:rFonts w:ascii="Malgun Gothic" w:hAnsi="Malgun Gothic"/>
        </w:rPr>
        <w:t xml:space="preserve">* MONOARA BEGUM (NID: </w:t>
      </w:r>
      <w:r>
        <w:rPr>
          <w:rFonts w:ascii="Consolas" w:hAnsi="Consolas"/>
          <w:color w:val="C7254E"/>
          <w:sz w:val="18"/>
        </w:rPr>
        <w:t>2354437788</w:t>
      </w:r>
      <w:r>
        <w:rPr>
          <w:rFonts w:ascii="Malgun Gothic" w:hAnsi="Malgun Gothic"/>
        </w:rPr>
        <w:t xml:space="preserve"> / Passport: </w:t>
      </w:r>
      <w:r>
        <w:rPr>
          <w:rFonts w:ascii="Consolas" w:hAnsi="Consolas"/>
          <w:color w:val="C7254E"/>
          <w:sz w:val="18"/>
        </w:rPr>
        <w:t>A09234112</w:t>
      </w:r>
      <w:r>
        <w:rPr>
          <w:rFonts w:ascii="Malgun Gothic" w:hAnsi="Malgun Gothic"/>
        </w:rPr>
        <w:t>) — 1/3 Statutory Share (33.333%)</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Address in Bangladesh:</w:t>
      </w:r>
      <w:r>
        <w:rPr>
          <w:rFonts w:ascii="Malgun Gothic" w:hAnsi="Malgun Gothic"/>
        </w:rPr>
        <w:t>* Munshi Bari, Keshobpur, Monoharganj - 3571, Cumilla, Bangladesh</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Authorized Attorney-in-Fact:</w:t>
      </w:r>
      <w:r>
        <w:rPr>
          <w:rFonts w:ascii="Malgun Gothic" w:hAnsi="Malgun Gothic"/>
        </w:rPr>
        <w:t xml:space="preserve">* HASIBUL MUNIM (주한 방글라데시 인권위원회 위원장 / NID: </w:t>
      </w:r>
      <w:r>
        <w:rPr>
          <w:rFonts w:ascii="Consolas" w:hAnsi="Consolas"/>
          <w:color w:val="C7254E"/>
          <w:sz w:val="18"/>
        </w:rPr>
        <w:t>6003330534</w:t>
      </w:r>
      <w:r>
        <w:rPr>
          <w:rFonts w:ascii="Malgun Gothic" w:hAnsi="Malgun Gothic"/>
        </w:rPr>
        <w:t xml:space="preserve"> / Passport: </w:t>
      </w:r>
      <w:r>
        <w:rPr>
          <w:rFonts w:ascii="Consolas" w:hAnsi="Consolas"/>
          <w:color w:val="C7254E"/>
          <w:sz w:val="18"/>
        </w:rPr>
        <w:t>B00936349</w:t>
      </w:r>
      <w:r>
        <w:rPr>
          <w:rFonts w:ascii="Malgun Gothic" w:hAnsi="Malgun Gothic"/>
        </w:rPr>
        <w:t>)</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Contacts:</w:t>
      </w:r>
      <w:r>
        <w:rPr>
          <w:rFonts w:ascii="Malgun Gothic" w:hAnsi="Malgun Gothic"/>
        </w:rPr>
        <w:t xml:space="preserve">* BD: </w:t>
      </w:r>
      <w:r>
        <w:rPr>
          <w:rFonts w:ascii="Consolas" w:hAnsi="Consolas"/>
          <w:color w:val="C7254E"/>
          <w:sz w:val="18"/>
        </w:rPr>
        <w:t>+880-1941-646278</w:t>
      </w:r>
      <w:r>
        <w:rPr>
          <w:rFonts w:ascii="Malgun Gothic" w:hAnsi="Malgun Gothic"/>
        </w:rPr>
        <w:t xml:space="preserve"> | KR/Kakao: </w:t>
      </w:r>
      <w:r>
        <w:rPr>
          <w:rFonts w:ascii="Consolas" w:hAnsi="Consolas"/>
          <w:color w:val="C7254E"/>
          <w:sz w:val="18"/>
        </w:rPr>
        <w:t>010-7209-1620</w:t>
      </w:r>
      <w:r>
        <w:rPr>
          <w:rFonts w:ascii="Malgun Gothic" w:hAnsi="Malgun Gothic"/>
        </w:rPr>
        <w:t xml:space="preserve"> | Email: </w:t>
      </w:r>
      <w:r>
        <w:rPr>
          <w:rFonts w:ascii="Consolas" w:hAnsi="Consolas"/>
          <w:color w:val="C7254E"/>
          <w:sz w:val="18"/>
        </w:rPr>
        <w:t>munimm247@gmail.com</w:t>
      </w:r>
      <w:r>
        <w:rPr>
          <w:rFonts w:ascii="Malgun Gothic" w:hAnsi="Malgun Gothic"/>
        </w:rPr>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Designated Account:</w:t>
      </w:r>
      <w:r>
        <w:rPr>
          <w:rFonts w:ascii="Malgun Gothic" w:hAnsi="Malgun Gothic"/>
        </w:rPr>
        <w:t xml:space="preserve">* Mutual Trust Bank PLC, Dhanmondi Branch, Dhaka (SWIFT: </w:t>
      </w:r>
      <w:r>
        <w:rPr>
          <w:rFonts w:ascii="Consolas" w:hAnsi="Consolas"/>
          <w:color w:val="C7254E"/>
          <w:sz w:val="18"/>
        </w:rPr>
        <w:t>MTBLBDDH</w:t>
      </w:r>
      <w:r>
        <w:rPr>
          <w:rFonts w:ascii="Malgun Gothic" w:hAnsi="Malgun Gothic"/>
        </w:rPr>
        <w:t xml:space="preserve">, A/C: </w:t>
      </w:r>
      <w:r>
        <w:rPr>
          <w:rFonts w:ascii="Consolas" w:hAnsi="Consolas"/>
          <w:color w:val="C7254E"/>
          <w:sz w:val="18"/>
        </w:rPr>
        <w:t>1311004072276</w:t>
      </w:r>
      <w:r>
        <w:rPr>
          <w:rFonts w:ascii="Malgun Gothic" w:hAnsi="Malgun Gothic"/>
        </w:rPr>
        <w:t xml:space="preserve">, Routing: </w:t>
      </w:r>
      <w:r>
        <w:rPr>
          <w:rFonts w:ascii="Consolas" w:hAnsi="Consolas"/>
          <w:color w:val="C7254E"/>
          <w:sz w:val="18"/>
        </w:rPr>
        <w:t>145261188</w:t>
      </w:r>
      <w:r>
        <w:rPr>
          <w:rFonts w:ascii="Malgun Gothic" w:hAnsi="Malgun Gothic"/>
        </w:rPr>
        <w:t>)</w:t>
      </w:r>
    </w:p>
    <w:p/>
    <w:p>
      <w:pPr>
        <w:spacing w:before="120" w:after="120"/>
        <w:pBdr>
          <w:bottom w:val="single" w:sz="6" w:space="1" w:color="D0D7DE"/>
        </w:pBdr>
      </w:pPr>
    </w:p>
    <w:p/>
    <w:p>
      <w:pPr>
        <w:pStyle w:val="Heading1"/>
        <w:spacing w:before="240" w:after="120"/>
      </w:pPr>
      <w:r>
        <w:rPr>
          <w:rFonts w:ascii="Malgun Gothic" w:hAnsi="Malgun Gothic"/>
          <w:b/>
          <w:color w:val="0F2C59"/>
        </w:rPr>
        <w:t>SECTION 3: CORE LEGAL DOCTRINES &amp; INTENTIONS BEHIND EVERY FILING</w:t>
      </w:r>
    </w:p>
    <w:p/>
    <w:p>
      <w:pPr>
        <w:pStyle w:val="Heading3"/>
        <w:spacing w:before="160" w:after="40"/>
      </w:pPr>
      <w:r>
        <w:rPr>
          <w:rFonts w:ascii="Malgun Gothic" w:hAnsi="Malgun Gothic"/>
          <w:b/>
          <w:color w:val="333333"/>
        </w:rPr>
        <w:t>3.1 Why the 50M KRW Provisional Advance is Legally Mandatory (상법 제732조의2)</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Statutory Requirement:</w:t>
      </w:r>
      <w:r>
        <w:rPr>
          <w:rFonts w:ascii="Malgun Gothic" w:hAnsi="Malgun Gothic"/>
        </w:rPr>
      </w:r>
      <w:r>
        <w:rPr>
          <w:rFonts w:ascii="Malgun Gothic" w:hAnsi="Malgun Gothic"/>
          <w:i/>
        </w:rPr>
        <w:t xml:space="preserve"> Under Korean Commercial Code Article 732-2 and Standard Automobile Policy Article 34(3), when an insurance claim is filed and the fact of the insured's accidental death is established (via Police and Hospital records), the insurer </w:t>
      </w:r>
      <w:r>
        <w:rPr>
          <w:rFonts w:ascii="Malgun Gothic" w:hAnsi="Malgun Gothic"/>
        </w:rPr>
      </w:r>
      <w:r>
        <w:rPr>
          <w:rFonts w:ascii="Malgun Gothic" w:hAnsi="Malgun Gothic"/>
          <w:i/>
        </w:rPr>
        <w:t>MUST</w:t>
      </w:r>
      <w:r>
        <w:rPr>
          <w:rFonts w:ascii="Malgun Gothic" w:hAnsi="Malgun Gothic"/>
        </w:rPr>
        <w:t>* advance at least 50% of the estimated insurance benefit (추정보험금의 50% = KRW 50,000,000) within 10 business days, even if their internal claims investigation is ongoing.</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Our Intention:</w:t>
      </w:r>
      <w:r>
        <w:rPr>
          <w:rFonts w:ascii="Malgun Gothic" w:hAnsi="Malgun Gothic"/>
        </w:rPr>
        <w:t>* By anchoring our first demand strictly on the 50M KRW statutory provisional payment, we strip DB Insurance of any lawful pretext for delay. If DB fails to disburse within 10 days, they enter immediate commercial default under Commercial Code §54.</w:t>
      </w:r>
    </w:p>
    <w:p/>
    <w:p>
      <w:pPr>
        <w:pStyle w:val="Heading3"/>
        <w:spacing w:before="160" w:after="40"/>
      </w:pPr>
      <w:r>
        <w:rPr>
          <w:rFonts w:ascii="Malgun Gothic" w:hAnsi="Malgun Gothic"/>
          <w:b/>
          <w:color w:val="333333"/>
        </w:rPr>
        <w:t>3.2 Preempting the Unlicensed Driving Exclusion (대법원 98다48963 전원합의체)</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Anticipated Defense:</w:t>
      </w:r>
      <w:r>
        <w:rPr>
          <w:rFonts w:ascii="Malgun Gothic" w:hAnsi="Malgun Gothic"/>
        </w:rPr>
        <w:t>* DB Insurance adjusters routinely attempt to deny auto accident claims involving unlicensed driving (무면허운전) by citing standard policy exclusion clauses.</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Our Preemptive Invalidation:</w:t>
      </w:r>
      <w:r>
        <w:rPr>
          <w:rFonts w:ascii="Malgun Gothic" w:hAnsi="Malgun Gothic"/>
          <w:i/>
        </w:rPr>
      </w:r>
    </w:p>
    <w:p>
      <w:pPr>
        <w:spacing w:line="276" w:lineRule="auto" w:after="60"/>
      </w:pPr>
      <w:r>
        <w:rPr>
          <w:rFonts w:ascii="Malgun Gothic" w:hAnsi="Malgun Gothic"/>
        </w:rPr>
        <w:t xml:space="preserve">  1. </w:t>
      </w:r>
      <w:r>
        <w:rPr>
          <w:rFonts w:ascii="Malgun Gothic" w:hAnsi="Malgun Gothic"/>
          <w:b/>
        </w:rPr>
        <w:t>Commercial Code Article 732-2 (상법 제732조의2):</w:t>
      </w:r>
      <w:r>
        <w:rPr>
          <w:rFonts w:ascii="Malgun Gothic" w:hAnsi="Malgun Gothic"/>
        </w:rPr>
        <w:t xml:space="preserve"> In personal accident / death insurance, an insurer cannot be exempted from liability for death caused by the gross negligence (중대한 과실) of the insured. Unlicensed driving is legally classified as gross negligence, NOT intentional suicide.</w:t>
      </w:r>
    </w:p>
    <w:p>
      <w:pPr>
        <w:spacing w:line="276" w:lineRule="auto" w:after="60"/>
      </w:pPr>
      <w:r>
        <w:rPr>
          <w:rFonts w:ascii="Malgun Gothic" w:hAnsi="Malgun Gothic"/>
        </w:rPr>
        <w:t xml:space="preserve">  2. </w:t>
      </w:r>
      <w:r>
        <w:rPr>
          <w:rFonts w:ascii="Malgun Gothic" w:hAnsi="Malgun Gothic"/>
          <w:b/>
        </w:rPr>
        <w:t>Commercial Code Article 663 (상법 제663조 - 불이익변경금지원칙):</w:t>
      </w:r>
      <w:r>
        <w:rPr>
          <w:rFonts w:ascii="Malgun Gothic" w:hAnsi="Malgun Gothic"/>
        </w:rPr>
        <w:t xml:space="preserve"> Any policy term or contractual exclusion that is more disadvantageous to the policyholder/insured than statutory provisions is strictly </w:t>
      </w:r>
      <w:r>
        <w:rPr>
          <w:rFonts w:ascii="Malgun Gothic" w:hAnsi="Malgun Gothic"/>
          <w:b/>
        </w:rPr>
        <w:t>NULL AND VOID</w:t>
      </w:r>
      <w:r>
        <w:rPr>
          <w:rFonts w:ascii="Malgun Gothic" w:hAnsi="Malgun Gothic"/>
        </w:rPr>
        <w:t>.</w:t>
      </w:r>
    </w:p>
    <w:p>
      <w:pPr>
        <w:spacing w:line="276" w:lineRule="auto" w:after="60"/>
      </w:pPr>
      <w:r>
        <w:rPr>
          <w:rFonts w:ascii="Malgun Gothic" w:hAnsi="Malgun Gothic"/>
        </w:rPr>
        <w:t xml:space="preserve">  3. </w:t>
      </w:r>
      <w:r>
        <w:rPr>
          <w:rFonts w:ascii="Malgun Gothic" w:hAnsi="Malgun Gothic"/>
          <w:b/>
        </w:rPr>
        <w:t>Supreme Court En Banc Decision 98Da48963 (대법원 98다48963 전원합의체 판결):</w:t>
      </w:r>
      <w:r>
        <w:rPr>
          <w:rFonts w:ascii="Malgun Gothic" w:hAnsi="Malgun Gothic"/>
        </w:rPr>
        <w:t xml:space="preserve"> The Supreme Court En Banc held that policy terms exempting an insurer from death benefit liability on the sole ground of unlicensed driving violate Commercial Code Article 732-2 and Article 663, and are therefore </w:t>
      </w:r>
      <w:r>
        <w:rPr>
          <w:rFonts w:ascii="Malgun Gothic" w:hAnsi="Malgun Gothic"/>
          <w:b/>
        </w:rPr>
        <w:t>ABSOLUTELY VOID</w:t>
      </w:r>
      <w:r>
        <w:rPr>
          <w:rFonts w:ascii="Malgun Gothic" w:hAnsi="Malgun Gothic"/>
        </w:rPr>
        <w:t>.</w:t>
      </w:r>
    </w:p>
    <w:p/>
    <w:p>
      <w:pPr>
        <w:pStyle w:val="Heading3"/>
        <w:spacing w:before="160" w:after="40"/>
      </w:pPr>
      <w:r>
        <w:rPr>
          <w:rFonts w:ascii="Malgun Gothic" w:hAnsi="Malgun Gothic"/>
          <w:b/>
          <w:color w:val="333333"/>
        </w:rPr>
        <w:t>3.3 Confirmation of Foreign Succession Law (국제사법 제49조)</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Governing Rule:</w:t>
      </w:r>
      <w:r>
        <w:rPr>
          <w:rFonts w:ascii="Malgun Gothic" w:hAnsi="Malgun Gothic"/>
        </w:rPr>
        <w:t>* Article 49(1) of the Korean Private International Law mandates that inheritance is governed by the national law of the deceased at the time of death.</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Bangladeshi Sunni Hanafi Succession:</w:t>
      </w:r>
      <w:r>
        <w:rPr>
          <w:rFonts w:ascii="Malgun Gothic" w:hAnsi="Malgun Gothic"/>
          <w:i/>
        </w:rPr>
      </w:r>
    </w:p>
    <w:p>
      <w:pPr>
        <w:spacing w:line="276" w:lineRule="auto" w:after="60"/>
      </w:pPr>
      <w:r>
        <w:rPr>
          <w:rFonts w:ascii="Malgun Gothic" w:hAnsi="Malgun Gothic"/>
        </w:rPr>
        <w:t xml:space="preserve">  - Father receives 2/3 share as </w:t>
      </w:r>
      <w:r>
        <w:rPr>
          <w:rFonts w:ascii="Malgun Gothic" w:hAnsi="Malgun Gothic"/>
          <w:i/>
        </w:rPr>
        <w:t>Asabah</w:t>
      </w:r>
      <w:r>
        <w:rPr>
          <w:rFonts w:ascii="Malgun Gothic" w:hAnsi="Malgun Gothic"/>
        </w:rPr>
        <w:t xml:space="preserve"> (Residuary heir).</w:t>
      </w:r>
    </w:p>
    <w:p>
      <w:pPr>
        <w:spacing w:line="276" w:lineRule="auto" w:after="60"/>
      </w:pPr>
      <w:r>
        <w:rPr>
          <w:rFonts w:ascii="Malgun Gothic" w:hAnsi="Malgun Gothic"/>
        </w:rPr>
        <w:t xml:space="preserve">  - Mother receives 1/3 fixed Quranic share (</w:t>
      </w:r>
      <w:r>
        <w:rPr>
          <w:rFonts w:ascii="Malgun Gothic" w:hAnsi="Malgun Gothic"/>
          <w:i/>
        </w:rPr>
        <w:t>Zawil Furud</w:t>
      </w:r>
      <w:r>
        <w:rPr>
          <w:rFonts w:ascii="Malgun Gothic" w:hAnsi="Malgun Gothic"/>
        </w:rPr>
        <w:t>).</w:t>
      </w:r>
    </w:p>
    <w:p>
      <w:pPr>
        <w:spacing w:line="276" w:lineRule="auto" w:after="60"/>
      </w:pPr>
      <w:r>
        <w:rPr>
          <w:rFonts w:ascii="Malgun Gothic" w:hAnsi="Malgun Gothic"/>
        </w:rPr>
        <w:t xml:space="preserve">  - All other relatives are completely excluded (</w:t>
      </w:r>
      <w:r>
        <w:rPr>
          <w:rFonts w:ascii="Malgun Gothic" w:hAnsi="Malgun Gothic"/>
          <w:i/>
        </w:rPr>
        <w:t>Mahjub</w:t>
      </w:r>
      <w:r>
        <w:rPr>
          <w:rFonts w:ascii="Malgun Gothic" w:hAnsi="Malgun Gothic"/>
        </w:rPr>
        <w:t>).</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Original Inherent Property Doctrine:</w:t>
      </w:r>
      <w:r>
        <w:rPr>
          <w:rFonts w:ascii="Malgun Gothic" w:hAnsi="Malgun Gothic"/>
        </w:rPr>
      </w:r>
      <w:r>
        <w:rPr>
          <w:rFonts w:ascii="Malgun Gothic" w:hAnsi="Malgun Gothic"/>
          <w:i/>
        </w:rPr>
        <w:t xml:space="preserve"> Under Supreme Court Decisions 2003Da29463 and 2000Da31502, accidental death insurance proceeds do not form part of the deceased's probate estate subject to general creditors; they vest directly and originally in the statutory heirs as their separate inherent property (</w:t>
      </w:r>
      <w:r>
        <w:rPr>
          <w:rFonts w:ascii="Malgun Gothic" w:hAnsi="Malgun Gothic"/>
        </w:rPr>
        <w:t>상속인의 고유재산*).</w:t>
      </w:r>
    </w:p>
    <w:p/>
    <w:p>
      <w:pPr>
        <w:pStyle w:val="Heading3"/>
        <w:spacing w:before="160" w:after="40"/>
      </w:pPr>
      <w:r>
        <w:rPr>
          <w:rFonts w:ascii="Malgun Gothic" w:hAnsi="Malgun Gothic"/>
          <w:b/>
          <w:color w:val="333333"/>
        </w:rPr>
        <w:t>3.4 Wire Remittance &amp; Tax-Exempt Protection</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Special Mandate Clause 6:</w:t>
      </w:r>
      <w:r>
        <w:rPr>
          <w:rFonts w:ascii="Malgun Gothic" w:hAnsi="Malgun Gothic"/>
        </w:rPr>
        <w:t>* Gives Hasibul Munim explicit legal authority under Korean Civil Act §118 to receive wire proceeds on behalf of the heirs and issue a legally binding discharge to the insurer.</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Korean Income Tax Act §12(3)(d):</w:t>
      </w:r>
      <w:r>
        <w:rPr>
          <w:rFonts w:ascii="Malgun Gothic" w:hAnsi="Malgun Gothic"/>
        </w:rPr>
        <w:t>* Statutory death benefits and compensatory insurance payments are 100% exempt from Korean withholding taxes.</w:t>
      </w:r>
    </w:p>
    <w:p/>
    <w:p>
      <w:pPr>
        <w:spacing w:before="120" w:after="120"/>
        <w:pBdr>
          <w:bottom w:val="single" w:sz="6" w:space="1" w:color="D0D7DE"/>
        </w:pBdr>
      </w:pPr>
    </w:p>
    <w:p/>
    <w:p>
      <w:pPr>
        <w:pStyle w:val="Heading1"/>
        <w:spacing w:before="240" w:after="120"/>
      </w:pPr>
      <w:r>
        <w:rPr>
          <w:rFonts w:ascii="Malgun Gothic" w:hAnsi="Malgun Gothic"/>
          <w:b/>
          <w:color w:val="0F2C59"/>
        </w:rPr>
        <w:t>SECTION 4: ADVERSARIAL COUNTER-MEASURE PLAYBOOK</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INSURER TACTICS &amp; REBUTTAL PLAYBOOK                                  │</w:t>
              <w:br/>
              <w:t>├────────────────────────────────┬─────────────────────────────────────────────────────────────────┤</w:t>
              <w:br/>
              <w:t>│ Insurer Delay / Defense Tactic │ Our Preemptive Rebuttal &amp; Action Trigger                        │</w:t>
              <w:br/>
              <w:t>├────────────────────────────────┼─────────────────────────────────────────────────────────────────┤</w:t>
              <w:br/>
              <w:t>│ 1. "We need 30 days to         │ Cite Commercial Code §732-2: Provisional 50% advance must be   │</w:t>
              <w:br/>
              <w:t>│    investigate the crash."     │ paid within 10 days REGARDLESS of investigation duration.       │</w:t>
              <w:br/>
              <w:t>├────────────────────────────────┼─────────────────────────────────────────────────────────────────┤</w:t>
              <w:br/>
              <w:t>│ 2. "Unlicensed driving is      │ Cite Supreme Court En Banc 98Da48963 &amp; Commercial Code §663:     │</w:t>
              <w:br/>
              <w:t>│    excluded under policy."     │ The exclusion clause is void as a matter of mandatory law.      │</w:t>
              <w:br/>
              <w:t>├────────────────────────────────┼─────────────────────────────────────────────────────────────────┤</w:t>
              <w:br/>
              <w:t>│ 3. "We need physical presence  │ Cite Civil Act §118 &amp; Hague/Consular Legalized POA: Attorney-   │</w:t>
              <w:br/>
              <w:t>│    of heirs in Korea."         │ in-Fact Hasibul Munim has full statutory power to represent.    │</w:t>
              <w:br/>
              <w:t>├────────────────────────────────┼─────────────────────────────────────────────────────────────────┤</w:t>
              <w:br/>
              <w:t>│ 4. "We cannot wire overseas    │ Clause 6 provides complete indemnity and discharge upon SWIFT   │</w:t>
              <w:br/>
              <w:t>│    without court order."       │ MT103 execution to Mutual Trust Bank PLC (A/C: 1311004072276).  │</w:t>
              <w:br/>
              <w:t>├────────────────────────────────┼─────────────────────────────────────────────────────────────────┤</w:t>
              <w:br/>
              <w:t>│ 5. "Total silence past         │ Day 11 trigger: File FSS Petition + initiate KLAC asset arrest │</w:t>
              <w:br/>
              <w:t>│    Day 10 deadline."           │ with 6.0% commercial default interest accelerating daily.       │</w:t>
              <w:br/>
              <w: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