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80"/>
      </w:pPr>
      <w:r>
        <w:rPr>
          <w:rFonts w:ascii="Malgun Gothic" w:hAnsi="Malgun Gothic"/>
          <w:b/>
          <w:color w:val="002060"/>
          <w:sz w:val="28"/>
        </w:rPr>
        <w:t>CROSS-BORDER HEIRSHIP, DUAL-TRACK LEGALIZATION &amp; FOREIGN EXCHANGE RECOVERY GUIDE</w:t>
      </w:r>
    </w:p>
    <w:p>
      <w:pPr>
        <w:spacing w:after="50" w:line="276" w:lineRule="auto"/>
      </w:pPr>
      <w:r>
        <w:rPr>
          <w:rFonts w:ascii="Malgun Gothic" w:hAnsi="Malgun Gothic"/>
          <w:b/>
          <w:color w:val="1E1E1E"/>
          <w:sz w:val="19"/>
        </w:rPr>
        <w:t>Comprehensive Operational and Legal Master Guide for Cross-Border Insurance Recovery</w:t>
      </w:r>
    </w:p>
    <w:p>
      <w:pPr>
        <w:spacing w:before="60" w:after="60"/>
      </w:pPr>
      <w:r>
        <w:rPr>
          <w:color w:val="BEBEBE"/>
        </w:rPr>
        <w:t>―――――――――――――――――――――――――――――――――――――――――――――</w:t>
      </w:r>
    </w:p>
    <w:p>
      <w:pPr>
        <w:spacing w:before="180" w:after="60"/>
      </w:pPr>
      <w:r>
        <w:rPr>
          <w:rFonts w:ascii="Malgun Gothic" w:hAnsi="Malgun Gothic"/>
          <w:b/>
          <w:color w:val="002060"/>
          <w:sz w:val="23"/>
        </w:rPr>
        <w:t>Document Control</w:t>
      </w:r>
    </w:p>
    <w:p>
      <w:pPr>
        <w:pStyle w:val="ListBullet"/>
        <w:spacing w:after="40" w:line="276" w:lineRule="auto"/>
      </w:pPr>
      <w:r>
        <w:rPr>
          <w:rFonts w:ascii="Malgun Gothic" w:hAnsi="Malgun Gothic"/>
          <w:b/>
          <w:color w:val="1E1E1E"/>
          <w:sz w:val="19"/>
        </w:rPr>
        <w:t>Target Case</w:t>
      </w:r>
      <w:r>
        <w:rPr>
          <w:rFonts w:ascii="Malgun Gothic" w:hAnsi="Malgun Gothic"/>
          <w:color w:val="1E1E1E"/>
          <w:sz w:val="19"/>
        </w:rPr>
        <w:t xml:space="preserve">: Accidental Death of Foreign Student MAHADI MONOAR HOSSAIN (ARC: </w:t>
      </w:r>
      <w:r>
        <w:rPr>
          <w:rFonts w:ascii="Consolas" w:hAnsi="Consolas"/>
          <w:color w:val="B40000"/>
          <w:sz w:val="18"/>
        </w:rPr>
        <w:t>010530-7660021</w:t>
      </w:r>
      <w:r>
        <w:rPr>
          <w:rFonts w:ascii="Malgun Gothic" w:hAnsi="Malgun Gothic"/>
          <w:color w:val="1E1E1E"/>
          <w:sz w:val="19"/>
        </w:rPr>
        <w:t>)</w:t>
      </w:r>
    </w:p>
    <w:p>
      <w:pPr>
        <w:pStyle w:val="ListBullet"/>
        <w:spacing w:after="40" w:line="276" w:lineRule="auto"/>
      </w:pPr>
      <w:r>
        <w:rPr>
          <w:rFonts w:ascii="Malgun Gothic" w:hAnsi="Malgun Gothic"/>
          <w:b/>
          <w:color w:val="1E1E1E"/>
          <w:sz w:val="19"/>
        </w:rPr>
        <w:t>Target Policy / Vehicle</w:t>
      </w:r>
      <w:r>
        <w:rPr>
          <w:rFonts w:ascii="Malgun Gothic" w:hAnsi="Malgun Gothic"/>
          <w:color w:val="1E1E1E"/>
          <w:sz w:val="19"/>
        </w:rPr>
        <w:t>: DB Insurance Co., Ltd. (</w:t>
      </w:r>
      <w:r>
        <w:rPr>
          <w:rFonts w:ascii="Consolas" w:hAnsi="Consolas"/>
          <w:color w:val="B40000"/>
          <w:sz w:val="18"/>
        </w:rPr>
        <w:t>28모1390</w:t>
      </w:r>
      <w:r>
        <w:rPr>
          <w:rFonts w:ascii="Malgun Gothic" w:hAnsi="Malgun Gothic"/>
          <w:color w:val="1E1E1E"/>
          <w:sz w:val="19"/>
        </w:rPr>
        <w:t>) &amp; Seojeong University D-2 Group Accident Policy</w:t>
      </w:r>
    </w:p>
    <w:p>
      <w:pPr>
        <w:pStyle w:val="ListBullet"/>
        <w:spacing w:after="40" w:line="276" w:lineRule="auto"/>
      </w:pPr>
      <w:r>
        <w:rPr>
          <w:rFonts w:ascii="Malgun Gothic" w:hAnsi="Malgun Gothic"/>
          <w:b/>
          <w:color w:val="1E1E1E"/>
          <w:sz w:val="19"/>
        </w:rPr>
        <w:t>Primary Beneficiaries / Sole Heirs</w:t>
      </w:r>
      <w:r>
        <w:rPr>
          <w:rFonts w:ascii="Malgun Gothic" w:hAnsi="Malgun Gothic"/>
          <w:color w:val="1E1E1E"/>
          <w:sz w:val="19"/>
        </w:rPr>
        <w:t>: BELAL HOSSAIN (Father - 2/3) &amp; MONOARA BEGUM (Mother - 1/3)</w:t>
      </w:r>
    </w:p>
    <w:p>
      <w:pPr>
        <w:pStyle w:val="ListBullet"/>
        <w:spacing w:after="40" w:line="276" w:lineRule="auto"/>
      </w:pPr>
      <w:r>
        <w:rPr>
          <w:rFonts w:ascii="Malgun Gothic" w:hAnsi="Malgun Gothic"/>
          <w:b/>
          <w:color w:val="1E1E1E"/>
          <w:sz w:val="19"/>
        </w:rPr>
        <w:t>Governing Conflict of Laws</w:t>
      </w:r>
      <w:r>
        <w:rPr>
          <w:rFonts w:ascii="Malgun Gothic" w:hAnsi="Malgun Gothic"/>
          <w:color w:val="1E1E1E"/>
          <w:sz w:val="19"/>
        </w:rPr>
        <w:t>: Korean Private International Law Act Article 49 (국제사법 제49조)</w:t>
      </w:r>
    </w:p>
    <w:p>
      <w:pPr>
        <w:pStyle w:val="ListBullet"/>
        <w:spacing w:after="40" w:line="276" w:lineRule="auto"/>
      </w:pPr>
      <w:r>
        <w:rPr>
          <w:rFonts w:ascii="Malgun Gothic" w:hAnsi="Malgun Gothic"/>
          <w:b/>
          <w:color w:val="1E1E1E"/>
          <w:sz w:val="19"/>
        </w:rPr>
        <w:t>Substantive Inheritance Law</w:t>
      </w:r>
      <w:r>
        <w:rPr>
          <w:rFonts w:ascii="Malgun Gothic" w:hAnsi="Malgun Gothic"/>
          <w:color w:val="1E1E1E"/>
          <w:sz w:val="19"/>
        </w:rPr>
        <w:t>: The Muslim Personal Law (Shariat) Application Act, 1937 (Sunni Hanafi Jurisprudence)</w:t>
      </w:r>
    </w:p>
    <w:p>
      <w:pPr>
        <w:pStyle w:val="ListBullet"/>
        <w:spacing w:after="40" w:line="276" w:lineRule="auto"/>
      </w:pPr>
      <w:r>
        <w:rPr>
          <w:rFonts w:ascii="Malgun Gothic" w:hAnsi="Malgun Gothic"/>
          <w:b/>
          <w:color w:val="1E1E1E"/>
          <w:sz w:val="19"/>
        </w:rPr>
        <w:t>Date &amp; Status</w:t>
      </w:r>
      <w:r>
        <w:rPr>
          <w:rFonts w:ascii="Malgun Gothic" w:hAnsi="Malgun Gothic"/>
          <w:color w:val="1E1E1E"/>
          <w:sz w:val="19"/>
        </w:rPr>
        <w:t>: August 2026 / Litigation-Grade Operational Standard</w:t>
      </w:r>
    </w:p>
    <w:p>
      <w:pPr>
        <w:spacing w:before="60" w:after="60"/>
      </w:pPr>
      <w:r>
        <w:rPr>
          <w:color w:val="BEBEBE"/>
        </w:rPr>
        <w:t>―――――――――――――――――――――――――――――――――――――――――――――</w:t>
      </w:r>
    </w:p>
    <w:p>
      <w:pPr>
        <w:spacing w:before="180" w:after="60"/>
      </w:pPr>
      <w:r>
        <w:rPr>
          <w:rFonts w:ascii="Malgun Gothic" w:hAnsi="Malgun Gothic"/>
          <w:b/>
          <w:color w:val="002060"/>
          <w:sz w:val="23"/>
        </w:rPr>
        <w:t>1. EXECUTIVE SUMMARY &amp; CROSS-BORDER RECOVERY ARCHITECTURE</w:t>
      </w:r>
    </w:p>
    <w:tbl>
      <w:tblPr>
        <w:tblW w:type="auto" w:w="0"/>
        <w:jc w:val="center"/>
        <w:tblLook w:firstColumn="1" w:firstRow="1" w:lastColumn="0" w:lastRow="0" w:noHBand="0" w:noVBand="1" w:val="04A0"/>
      </w:tblPr>
      <w:tblGrid>
        <w:gridCol w:w="10224"/>
      </w:tblGrid>
      <w:tr>
        <w:tc>
          <w:tcPr>
            <w:tcW w:type="dxa" w:w="10224"/>
            <w:shd w:fill="F4F6F9"/>
            <w:tcMar>
              <w:top w:w="100" w:type="dxa"/>
              <w:bottom w:w="100" w:type="dxa"/>
              <w:left w:w="120" w:type="dxa"/>
              <w:right w:w="120" w:type="dxa"/>
            </w:tcMar>
          </w:tcPr>
          <w:p>
            <w:pPr>
              <w:spacing w:after="0" w:line="252" w:lineRule="auto"/>
            </w:pPr>
            <w:r>
              <w:rPr>
                <w:rFonts w:ascii="Consolas" w:hAnsi="Consolas"/>
                <w:color w:val="1E1E1E"/>
                <w:sz w:val="15"/>
              </w:rPr>
              <w:t>====================================================================================================</w:t>
              <w:br/>
              <w:t>CROSS-BORDER CLAIM ARCHITECTURE FOR MAHADI MONOAR HOSSAIN</w:t>
              <w:br/>
              <w:t>====================================================================================================</w:t>
              <w:br/>
              <w:t xml:space="preserve">                        ┌──────────────────────────────────────────────┐</w:t>
              <w:br/>
              <w:t xml:space="preserve">                        │           DECEASED FOREIGN STUDENT           │</w:t>
              <w:br/>
              <w:t xml:space="preserve">                        │            MAHADI MONOAR HOSSAIN             │</w:t>
              <w:br/>
              <w:t xml:space="preserve">                        │  ARC: 010530-7660021 | Nationality: BD       │</w:t>
              <w:br/>
              <w:t xml:space="preserve">                        │  Seojeong University D-2 International St.   │</w:t>
              <w:br/>
              <w:t xml:space="preserve">                        │  Accident: Single-Vehicle Crash (28모1390)   │</w:t>
              <w:br/>
              <w:t xml:space="preserve">                        └──────────────────────┬───────────────────────┘</w:t>
              <w:br/>
              <w:t xml:space="preserve">                                               │</w:t>
              <w:br/>
              <w:t xml:space="preserve">               ┌───────────────────────────────┴───────────────────────────────┐</w:t>
              <w:br/>
              <w:t xml:space="preserve">               │                                                               │</w:t>
              <w:br/>
              <w:t xml:space="preserve">               ▼                                                               ▼</w:t>
              <w:br/>
              <w:t>┌──────────────────────────────┐                               ┌──────────────────────────────┐</w:t>
              <w:br/>
              <w:t>│     KOREAN LEGAL SYSTEM      │                               │    BANGLADESHI SUCCESSION    │</w:t>
              <w:br/>
              <w:t>│  - Commercial Code 732-2/739 │                               │  - PIL Act Article 49        │</w:t>
              <w:br/>
              <w:t>│  - Supreme Court 98Da48963   │                               │  - Sunni Hanafi Law          │</w:t>
              <w:br/>
              <w:t>│  - Unlicensed defense VOID   │                               │  - Sole Heirs: Father (2/3)  │</w:t>
              <w:br/>
              <w:t>│  - FSS Dispute Mediation     │                               │                Mother (1/3)  │</w:t>
              <w:br/>
              <w:t>└──────────────┬───────────────┘                               └──────────────┬───────────────┘</w:t>
              <w:br/>
              <w:t xml:space="preserve">               │                                                               │</w:t>
              <w:br/>
              <w:t xml:space="preserve">               ├───────────────────────────────────────────────────────────────┤</w:t>
              <w:br/>
              <w:t xml:space="preserve">               ▼                                                               ▼</w:t>
              <w:br/>
              <w:t>┌──────────────────────────────┐                               ┌──────────────────────────────┐</w:t>
              <w:br/>
              <w:t>│  PARALLEL RECOVERY TRACKS    │                               │  AUTHENTICATION &amp; REMITTANCE │</w:t>
              <w:br/>
              <w:t>│  Track 1: DB Insurance (자손) │                               │  1. Dual-Track Legalization  │</w:t>
              <w:br/>
              <w:t>│  Track 2: Seojeong Group Ins │                               │  2. Bilingual Special POA    │</w:t>
              <w:br/>
              <w:t>│  Track 3: FSS Mediation      │                               │  3. Direct SWIFT Wire (FX)   │</w:t>
              <w:br/>
              <w:t>└──────────────────────────────┘                               └──────────────────────────────┘</w:t>
              <w:br/>
              <w:t>====================================================================================================</w:t>
            </w:r>
          </w:p>
        </w:tc>
      </w:tr>
    </w:tbl>
    <w:p/>
    <w:p>
      <w:pPr>
        <w:spacing w:before="120" w:after="40"/>
      </w:pPr>
      <w:r>
        <w:rPr>
          <w:rFonts w:ascii="Malgun Gothic" w:hAnsi="Malgun Gothic"/>
          <w:b/>
          <w:color w:val="3C3C3C"/>
          <w:sz w:val="20"/>
        </w:rPr>
        <w:t>1.1 Core Factual &amp; Jurisdictional Background</w:t>
      </w:r>
    </w:p>
    <w:p>
      <w:pPr>
        <w:pStyle w:val="ListNumber"/>
        <w:spacing w:after="40" w:line="276" w:lineRule="auto"/>
      </w:pPr>
      <w:r>
        <w:rPr>
          <w:rFonts w:ascii="Malgun Gothic" w:hAnsi="Malgun Gothic"/>
          <w:b/>
          <w:color w:val="1E1E1E"/>
          <w:sz w:val="19"/>
        </w:rPr>
        <w:t>The Deceased</w:t>
      </w:r>
      <w:r>
        <w:rPr>
          <w:rFonts w:ascii="Malgun Gothic" w:hAnsi="Malgun Gothic"/>
          <w:color w:val="1E1E1E"/>
          <w:sz w:val="19"/>
        </w:rPr>
        <w:t xml:space="preserve">: MAHADI MONOAR HOSSAIN, born May 30, 2001, a citizen of the People Republic of Bangladesh, holding Alien Registration Card No. </w:t>
      </w:r>
      <w:r>
        <w:rPr>
          <w:rFonts w:ascii="Consolas" w:hAnsi="Consolas"/>
          <w:color w:val="B40000"/>
          <w:sz w:val="18"/>
        </w:rPr>
        <w:t>010530-7660021</w:t>
      </w:r>
      <w:r>
        <w:rPr>
          <w:rFonts w:ascii="Malgun Gothic" w:hAnsi="Malgun Gothic"/>
          <w:color w:val="1E1E1E"/>
          <w:sz w:val="19"/>
        </w:rPr>
        <w:t xml:space="preserve"> and Passport No. </w:t>
      </w:r>
      <w:r>
        <w:rPr>
          <w:rFonts w:ascii="Consolas" w:hAnsi="Consolas"/>
          <w:color w:val="B40000"/>
          <w:sz w:val="18"/>
        </w:rPr>
        <w:t>A03097931</w:t>
      </w:r>
      <w:r>
        <w:rPr>
          <w:rFonts w:ascii="Malgun Gothic" w:hAnsi="Malgun Gothic"/>
          <w:color w:val="1E1E1E"/>
          <w:sz w:val="19"/>
        </w:rPr>
        <w:t>, was enrolled as a 1st-year international degree student under a D-2 visa at Seojeong University (서정대학교), Yangju-si, Gyeonggi-do, Republic of Korea.</w:t>
      </w:r>
    </w:p>
    <w:p>
      <w:pPr>
        <w:pStyle w:val="ListNumber"/>
        <w:spacing w:after="40" w:line="276" w:lineRule="auto"/>
      </w:pPr>
      <w:r>
        <w:rPr>
          <w:rFonts w:ascii="Malgun Gothic" w:hAnsi="Malgun Gothic"/>
          <w:b/>
          <w:color w:val="1E1E1E"/>
          <w:sz w:val="19"/>
        </w:rPr>
        <w:t>The Accident</w:t>
      </w:r>
      <w:r>
        <w:rPr>
          <w:rFonts w:ascii="Malgun Gothic" w:hAnsi="Malgun Gothic"/>
          <w:color w:val="1E1E1E"/>
          <w:sz w:val="19"/>
        </w:rPr>
        <w:t xml:space="preserve">: On March 14, 2026, at approximately 05:58 AM, the deceased suffered a fatal single-vehicle collision at Bukbun-ri 4-1, Hyeonnam-myeon, Yangyang-gun, Gangwon State, while operating passenger vehicle </w:t>
      </w:r>
      <w:r>
        <w:rPr>
          <w:rFonts w:ascii="Consolas" w:hAnsi="Consolas"/>
          <w:color w:val="B40000"/>
          <w:sz w:val="18"/>
        </w:rPr>
        <w:t>28모1390</w:t>
      </w:r>
      <w:r>
        <w:rPr>
          <w:rFonts w:ascii="Malgun Gothic" w:hAnsi="Malgun Gothic"/>
          <w:color w:val="1E1E1E"/>
          <w:sz w:val="19"/>
        </w:rPr>
        <w:t xml:space="preserve">. The deceased sustained severe traumatic brain injury and skull fractures, resulting in immediate death (Gangwon Sokcho Police Station Case No. </w:t>
      </w:r>
      <w:r>
        <w:rPr>
          <w:rFonts w:ascii="Consolas" w:hAnsi="Consolas"/>
          <w:color w:val="B40000"/>
          <w:sz w:val="18"/>
        </w:rPr>
        <w:t>2026-00020</w:t>
      </w:r>
      <w:r>
        <w:rPr>
          <w:rFonts w:ascii="Malgun Gothic" w:hAnsi="Malgun Gothic"/>
          <w:color w:val="1E1E1E"/>
          <w:sz w:val="19"/>
        </w:rPr>
        <w:t>; GangNeung Asan Hospital attending physician Dr. Huidong Kang).</w:t>
      </w:r>
    </w:p>
    <w:p>
      <w:pPr>
        <w:pStyle w:val="ListNumber"/>
        <w:spacing w:after="40" w:line="276" w:lineRule="auto"/>
      </w:pPr>
      <w:r>
        <w:rPr>
          <w:rFonts w:ascii="Malgun Gothic" w:hAnsi="Malgun Gothic"/>
          <w:b/>
          <w:color w:val="1E1E1E"/>
          <w:sz w:val="19"/>
        </w:rPr>
        <w:t>The Target Insurance Coverage</w:t>
      </w:r>
      <w:r>
        <w:rPr>
          <w:rFonts w:ascii="Malgun Gothic" w:hAnsi="Malgun Gothic"/>
          <w:color w:val="1E1E1E"/>
          <w:sz w:val="19"/>
        </w:rPr>
        <w:t>:</w:t>
      </w:r>
    </w:p>
    <w:p>
      <w:pPr>
        <w:spacing w:after="50" w:line="276" w:lineRule="auto"/>
      </w:pPr>
      <w:r>
        <w:rPr>
          <w:rFonts w:ascii="Malgun Gothic" w:hAnsi="Malgun Gothic"/>
          <w:color w:val="1E1E1E"/>
          <w:sz w:val="19"/>
        </w:rPr>
        <w:t xml:space="preserve">   - </w:t>
      </w:r>
      <w:r>
        <w:rPr>
          <w:rFonts w:ascii="Malgun Gothic" w:hAnsi="Malgun Gothic"/>
          <w:b/>
          <w:color w:val="1E1E1E"/>
          <w:sz w:val="19"/>
        </w:rPr>
        <w:t>DB Insurance Automobile Policy (`28모1390`)</w:t>
      </w:r>
      <w:r>
        <w:rPr>
          <w:rFonts w:ascii="Malgun Gothic" w:hAnsi="Malgun Gothic"/>
          <w:color w:val="1E1E1E"/>
          <w:sz w:val="19"/>
        </w:rPr>
        <w:t xml:space="preserve">: Active policy renewed on January 21, 2026 (Policy No. </w:t>
      </w:r>
      <w:r>
        <w:rPr>
          <w:rFonts w:ascii="Consolas" w:hAnsi="Consolas"/>
          <w:color w:val="B40000"/>
          <w:sz w:val="18"/>
        </w:rPr>
        <w:t>2-2026-0531750-000</w:t>
      </w:r>
      <w:r>
        <w:rPr>
          <w:rFonts w:ascii="Malgun Gothic" w:hAnsi="Malgun Gothic"/>
          <w:color w:val="1E1E1E"/>
          <w:sz w:val="19"/>
        </w:rPr>
        <w:t>, Handling: DB Insurance Direct / Customer Claims Center 1588-0100), carrying First-Party Accidental Death Coverage (자기신체사고 / 자동차상해).</w:t>
      </w:r>
    </w:p>
    <w:p>
      <w:pPr>
        <w:spacing w:after="50" w:line="276" w:lineRule="auto"/>
      </w:pPr>
      <w:r>
        <w:rPr>
          <w:rFonts w:ascii="Malgun Gothic" w:hAnsi="Malgun Gothic"/>
          <w:color w:val="1E1E1E"/>
          <w:sz w:val="19"/>
        </w:rPr>
        <w:t xml:space="preserve">   - </w:t>
      </w:r>
      <w:r>
        <w:rPr>
          <w:rFonts w:ascii="Malgun Gothic" w:hAnsi="Malgun Gothic"/>
          <w:b/>
          <w:color w:val="1E1E1E"/>
          <w:sz w:val="19"/>
        </w:rPr>
        <w:t>Seojeong University Foreign Student Master Group Accident Insurance</w:t>
      </w:r>
      <w:r>
        <w:rPr>
          <w:rFonts w:ascii="Malgun Gothic" w:hAnsi="Malgun Gothic"/>
          <w:color w:val="1E1E1E"/>
          <w:sz w:val="19"/>
        </w:rPr>
        <w:t>: Mandatory group policy covering D-2 enrolled students for Accidental Death Benefits (상해사망보험금) and Repatriation / Funeral Expenses (송환비용 및 장례비용).</w:t>
      </w:r>
    </w:p>
    <w:p>
      <w:pPr>
        <w:pStyle w:val="ListNumber"/>
        <w:spacing w:after="40" w:line="276" w:lineRule="auto"/>
      </w:pPr>
      <w:r>
        <w:rPr>
          <w:rFonts w:ascii="Malgun Gothic" w:hAnsi="Malgun Gothic"/>
          <w:b/>
          <w:color w:val="1E1E1E"/>
          <w:sz w:val="19"/>
        </w:rPr>
        <w:t>The Cross-Border Challenge</w:t>
      </w:r>
      <w:r>
        <w:rPr>
          <w:rFonts w:ascii="Malgun Gothic" w:hAnsi="Malgun Gothic"/>
          <w:color w:val="1E1E1E"/>
          <w:sz w:val="19"/>
        </w:rPr>
        <w:t>: The deceased died unmarried and intestate in South Korea, leaving his surviving parents (BELAL HOSSAIN and MONOARA BEGUM) in Bangladesh. Recovering the full insurance benefits requires a seamless, multi-jurisdictional evidentiary pipeline linking Bangladeshi heirship verification, diplomatic legalization, Korean statutory insurance mandates, and Korean foreign exchange remittance compliance.</w:t>
      </w:r>
    </w:p>
    <w:p>
      <w:pPr>
        <w:spacing w:before="60" w:after="60"/>
      </w:pPr>
      <w:r>
        <w:rPr>
          <w:color w:val="BEBEBE"/>
        </w:rPr>
        <w:t>―――――――――――――――――――――――――――――――――――――――――――――</w:t>
      </w:r>
    </w:p>
    <w:p>
      <w:pPr>
        <w:spacing w:before="180" w:after="60"/>
      </w:pPr>
      <w:r>
        <w:rPr>
          <w:rFonts w:ascii="Malgun Gothic" w:hAnsi="Malgun Gothic"/>
          <w:b/>
          <w:color w:val="002060"/>
          <w:sz w:val="23"/>
        </w:rPr>
        <w:t>2. PRIVATE INTERNATIONAL LAW ART. 49 &amp; BANGLADESHI SUNNI HANAFI SUCCESSION ARCHITECTURE</w:t>
      </w:r>
    </w:p>
    <w:p>
      <w:pPr>
        <w:spacing w:before="120" w:after="40"/>
      </w:pPr>
      <w:r>
        <w:rPr>
          <w:rFonts w:ascii="Malgun Gothic" w:hAnsi="Malgun Gothic"/>
          <w:b/>
          <w:color w:val="3C3C3C"/>
          <w:sz w:val="20"/>
        </w:rPr>
        <w:t>2.1 Choice of Law under Korean Private International Law Act Article 49</w:t>
      </w:r>
    </w:p>
    <w:p>
      <w:pPr>
        <w:spacing w:after="50" w:line="276" w:lineRule="auto"/>
      </w:pPr>
      <w:r>
        <w:rPr>
          <w:rFonts w:ascii="Malgun Gothic" w:hAnsi="Malgun Gothic"/>
          <w:color w:val="1E1E1E"/>
          <w:sz w:val="19"/>
        </w:rPr>
        <w:t xml:space="preserve">Under the conflict of laws rules of the Republic of Korea, the devolution of estate assets and the legal status of statutory heirs are determined exclusively by </w:t>
      </w:r>
      <w:r>
        <w:rPr>
          <w:rFonts w:ascii="Malgun Gothic" w:hAnsi="Malgun Gothic"/>
          <w:b/>
          <w:color w:val="1E1E1E"/>
          <w:sz w:val="19"/>
        </w:rPr>
        <w:t>Article 49 of the Private International Law Act (국제사법 제49조)</w:t>
      </w:r>
      <w:r>
        <w:rPr>
          <w:rFonts w:ascii="Malgun Gothic" w:hAnsi="Malgun Gothic"/>
          <w:color w:val="1E1E1E"/>
          <w:sz w:val="19"/>
        </w:rPr>
        <w:t>:</w:t>
      </w:r>
    </w:p>
    <w:tbl>
      <w:tblPr>
        <w:tblW w:type="auto" w:w="0"/>
        <w:jc w:val="center"/>
        <w:tblLook w:firstColumn="1" w:firstRow="1" w:lastColumn="0" w:lastRow="0" w:noHBand="0" w:noVBand="1" w:val="04A0"/>
      </w:tblPr>
      <w:tblGrid>
        <w:gridCol w:w="10224"/>
      </w:tblGrid>
      <w:tr>
        <w:tc>
          <w:tcPr>
            <w:tcW w:type="dxa" w:w="10224"/>
            <w:shd w:fill="F4F6F9"/>
            <w:tcMar>
              <w:top w:w="100" w:type="dxa"/>
              <w:bottom w:w="100" w:type="dxa"/>
              <w:left w:w="120" w:type="dxa"/>
              <w:right w:w="120" w:type="dxa"/>
            </w:tcMar>
          </w:tcPr>
          <w:p>
            <w:pPr>
              <w:spacing w:after="0" w:line="252" w:lineRule="auto"/>
            </w:pPr>
            <w:r>
              <w:rPr>
                <w:rFonts w:ascii="Consolas" w:hAnsi="Consolas"/>
                <w:color w:val="1E1E1E"/>
                <w:sz w:val="15"/>
              </w:rPr>
              <w:t>[국제사법 제49조 (상속)]</w:t>
              <w:br/>
              <w:t>① 상속은 사망 당시 피상속인의 본국법에 의한다.</w:t>
              <w:br/>
              <w:t>② 피상속인은 유언에 정하는 방식에 따라 다음 각 호의 어느 하나에 해당하는 법을 지정하여 상속을 준거법으로 할 수 있다. 다만, 유류분에 관한 권리는 피상속인의 사망 당시 본국법에 의한다.</w:t>
              <w:br/>
              <w:t xml:space="preserve">   1. 지정 당시 피상속인의 상거소가 있는 국가의 법</w:t>
              <w:br/>
              <w:t xml:space="preserve">   2. 부동산에 관한 상속의 경우 그 부동산이 소재하는 국가의 법</w:t>
            </w:r>
          </w:p>
        </w:tc>
      </w:tr>
    </w:tbl>
    <w:p/>
    <w:p>
      <w:pPr>
        <w:spacing w:before="80" w:after="30"/>
      </w:pPr>
      <w:r>
        <w:rPr>
          <w:rFonts w:ascii="Malgun Gothic" w:hAnsi="Malgun Gothic"/>
          <w:b/>
          <w:color w:val="3C3C3C"/>
          <w:sz w:val="19"/>
        </w:rPr>
        <w:t>Legal Mechanics:</w:t>
      </w:r>
    </w:p>
    <w:p>
      <w:pPr>
        <w:pStyle w:val="ListNumber"/>
        <w:spacing w:after="40" w:line="276" w:lineRule="auto"/>
      </w:pPr>
      <w:r>
        <w:rPr>
          <w:rFonts w:ascii="Malgun Gothic" w:hAnsi="Malgun Gothic"/>
          <w:b/>
          <w:color w:val="1E1E1E"/>
          <w:sz w:val="19"/>
        </w:rPr>
        <w:t>Intestate Lex Patriae (본국법주의)</w:t>
      </w:r>
      <w:r>
        <w:rPr>
          <w:rFonts w:ascii="Malgun Gothic" w:hAnsi="Malgun Gothic"/>
          <w:color w:val="1E1E1E"/>
          <w:sz w:val="19"/>
        </w:rPr>
        <w:t xml:space="preserve">: The deceased Mahadi Monoar Hossain executed no testamentary document designating Korean law or habitual residence law under Article 49(2). Therefore, pursuant to Article 49(1), </w:t>
      </w:r>
      <w:r>
        <w:rPr>
          <w:rFonts w:ascii="Malgun Gothic" w:hAnsi="Malgun Gothic"/>
          <w:b/>
          <w:color w:val="1E1E1E"/>
          <w:sz w:val="19"/>
        </w:rPr>
        <w:t>the national law of Bangladesh (피상속인의 본국법인 방글라데시 법률)</w:t>
      </w:r>
      <w:r>
        <w:rPr>
          <w:rFonts w:ascii="Malgun Gothic" w:hAnsi="Malgun Gothic"/>
          <w:color w:val="1E1E1E"/>
          <w:sz w:val="19"/>
        </w:rPr>
        <w:t xml:space="preserve"> exclusively governs all questions of succession.</w:t>
      </w:r>
    </w:p>
    <w:p>
      <w:pPr>
        <w:pStyle w:val="ListNumber"/>
        <w:spacing w:after="40" w:line="276" w:lineRule="auto"/>
      </w:pPr>
      <w:r>
        <w:rPr>
          <w:rFonts w:ascii="Malgun Gothic" w:hAnsi="Malgun Gothic"/>
          <w:b/>
          <w:color w:val="1E1E1E"/>
          <w:sz w:val="19"/>
        </w:rPr>
        <w:t>Universal Scope of the Governing Law</w:t>
      </w:r>
      <w:r>
        <w:rPr>
          <w:rFonts w:ascii="Malgun Gothic" w:hAnsi="Malgun Gothic"/>
          <w:color w:val="1E1E1E"/>
          <w:sz w:val="19"/>
        </w:rPr>
        <w:t>: The lex successionis determines:</w:t>
      </w:r>
    </w:p>
    <w:p>
      <w:pPr>
        <w:spacing w:after="50" w:line="276" w:lineRule="auto"/>
      </w:pPr>
      <w:r>
        <w:rPr>
          <w:rFonts w:ascii="Malgun Gothic" w:hAnsi="Malgun Gothic"/>
          <w:color w:val="1E1E1E"/>
          <w:sz w:val="19"/>
        </w:rPr>
        <w:t xml:space="preserve">   - The capacity to inherit and priority order of legal heirs (상속인의 범위 및 상속순위);</w:t>
      </w:r>
    </w:p>
    <w:p>
      <w:pPr>
        <w:spacing w:after="50" w:line="276" w:lineRule="auto"/>
      </w:pPr>
      <w:r>
        <w:rPr>
          <w:rFonts w:ascii="Malgun Gothic" w:hAnsi="Malgun Gothic"/>
          <w:color w:val="1E1E1E"/>
          <w:sz w:val="19"/>
        </w:rPr>
        <w:t xml:space="preserve">   - The fractional mathematical apportionment of inheritance shares (상속지분율);</w:t>
      </w:r>
    </w:p>
    <w:p>
      <w:pPr>
        <w:spacing w:after="50" w:line="276" w:lineRule="auto"/>
      </w:pPr>
      <w:r>
        <w:rPr>
          <w:rFonts w:ascii="Malgun Gothic" w:hAnsi="Malgun Gothic"/>
          <w:color w:val="1E1E1E"/>
          <w:sz w:val="19"/>
        </w:rPr>
        <w:t xml:space="preserve">   - The devolution of claims, causes of action, and accidental death benefit rights.</w:t>
      </w:r>
    </w:p>
    <w:p>
      <w:pPr>
        <w:spacing w:before="60" w:after="60"/>
      </w:pPr>
      <w:r>
        <w:rPr>
          <w:color w:val="BEBEBE"/>
        </w:rPr>
        <w:t>―――――――――――――――――――――――――――――――――――――――――――――</w:t>
      </w:r>
    </w:p>
    <w:p>
      <w:pPr>
        <w:spacing w:before="120" w:after="40"/>
      </w:pPr>
      <w:r>
        <w:rPr>
          <w:rFonts w:ascii="Malgun Gothic" w:hAnsi="Malgun Gothic"/>
          <w:b/>
          <w:color w:val="3C3C3C"/>
          <w:sz w:val="20"/>
        </w:rPr>
        <w:t>2.2 Substantive Bangladeshi Muslim Succession Law (Sunni Hanafi School)</w:t>
      </w:r>
    </w:p>
    <w:p>
      <w:pPr>
        <w:spacing w:after="50" w:line="276" w:lineRule="auto"/>
      </w:pPr>
      <w:r>
        <w:rPr>
          <w:rFonts w:ascii="Malgun Gothic" w:hAnsi="Malgun Gothic"/>
          <w:color w:val="1E1E1E"/>
          <w:sz w:val="19"/>
        </w:rPr>
        <w:t xml:space="preserve">In Bangladesh, succession for Muslim citizens is governed by personal religious law pursuant to </w:t>
      </w:r>
      <w:r>
        <w:rPr>
          <w:rFonts w:ascii="Malgun Gothic" w:hAnsi="Malgun Gothic"/>
          <w:b/>
          <w:color w:val="1E1E1E"/>
          <w:sz w:val="19"/>
        </w:rPr>
        <w:t>The Muslim Personal Law (Shariat) Application Act, 1937</w:t>
      </w:r>
      <w:r>
        <w:rPr>
          <w:rFonts w:ascii="Malgun Gothic" w:hAnsi="Malgun Gothic"/>
          <w:color w:val="1E1E1E"/>
          <w:sz w:val="19"/>
        </w:rPr>
        <w:t xml:space="preserve"> and </w:t>
      </w:r>
      <w:r>
        <w:rPr>
          <w:rFonts w:ascii="Malgun Gothic" w:hAnsi="Malgun Gothic"/>
          <w:b/>
          <w:color w:val="1E1E1E"/>
          <w:sz w:val="19"/>
        </w:rPr>
        <w:t>The Succession Act, 1925</w:t>
      </w:r>
      <w:r>
        <w:rPr>
          <w:rFonts w:ascii="Malgun Gothic" w:hAnsi="Malgun Gothic"/>
          <w:color w:val="1E1E1E"/>
          <w:sz w:val="19"/>
        </w:rPr>
        <w:t xml:space="preserve">. The majority of Bangladeshi Muslims belong to the </w:t>
      </w:r>
      <w:r>
        <w:rPr>
          <w:rFonts w:ascii="Malgun Gothic" w:hAnsi="Malgun Gothic"/>
          <w:b/>
          <w:color w:val="1E1E1E"/>
          <w:sz w:val="19"/>
        </w:rPr>
        <w:t>Sunni Hanafi School of Jurisprudence</w:t>
      </w:r>
      <w:r>
        <w:rPr>
          <w:rFonts w:ascii="Malgun Gothic" w:hAnsi="Malgun Gothic"/>
          <w:color w:val="1E1E1E"/>
          <w:sz w:val="19"/>
        </w:rPr>
        <w:t xml:space="preserve"> (*Sirajiyyah* principles of inheritance).</w:t>
      </w:r>
    </w:p>
    <w:p>
      <w:pPr>
        <w:spacing w:before="80" w:after="30"/>
      </w:pPr>
      <w:r>
        <w:rPr>
          <w:rFonts w:ascii="Malgun Gothic" w:hAnsi="Malgun Gothic"/>
          <w:b/>
          <w:color w:val="3C3C3C"/>
          <w:sz w:val="19"/>
        </w:rPr>
        <w:t>Hanafi Classification of Heirs:</w:t>
      </w:r>
    </w:p>
    <w:p>
      <w:pPr>
        <w:pStyle w:val="ListNumber"/>
        <w:spacing w:after="40" w:line="276" w:lineRule="auto"/>
      </w:pPr>
      <w:r>
        <w:rPr>
          <w:rFonts w:ascii="Malgun Gothic" w:hAnsi="Malgun Gothic"/>
          <w:b/>
          <w:color w:val="1E1E1E"/>
          <w:sz w:val="19"/>
        </w:rPr>
        <w:t>Sharers (*Zawil Furud* / 12 Quranic Heirs)</w:t>
      </w:r>
      <w:r>
        <w:rPr>
          <w:rFonts w:ascii="Malgun Gothic" w:hAnsi="Malgun Gothic"/>
          <w:color w:val="1E1E1E"/>
          <w:sz w:val="19"/>
        </w:rPr>
        <w:t>: Entitled to fixed statutory fractions designated in the Holy Quran.</w:t>
      </w:r>
    </w:p>
    <w:p>
      <w:pPr>
        <w:pStyle w:val="ListNumber"/>
        <w:spacing w:after="40" w:line="276" w:lineRule="auto"/>
      </w:pPr>
      <w:r>
        <w:rPr>
          <w:rFonts w:ascii="Malgun Gothic" w:hAnsi="Malgun Gothic"/>
          <w:b/>
          <w:color w:val="1E1E1E"/>
          <w:sz w:val="19"/>
        </w:rPr>
        <w:t>Residuaries (*Asaba* / Agnatic Heirs)</w:t>
      </w:r>
      <w:r>
        <w:rPr>
          <w:rFonts w:ascii="Malgun Gothic" w:hAnsi="Malgun Gothic"/>
          <w:color w:val="1E1E1E"/>
          <w:sz w:val="19"/>
        </w:rPr>
        <w:t>: Entitled to take the entire residue of the estate after Sharers receive their prescribed shares.</w:t>
      </w:r>
    </w:p>
    <w:p>
      <w:pPr>
        <w:pStyle w:val="ListNumber"/>
        <w:spacing w:after="40" w:line="276" w:lineRule="auto"/>
      </w:pPr>
      <w:r>
        <w:rPr>
          <w:rFonts w:ascii="Malgun Gothic" w:hAnsi="Malgun Gothic"/>
          <w:b/>
          <w:color w:val="1E1E1E"/>
          <w:sz w:val="19"/>
        </w:rPr>
        <w:t>Distant Kindred (*Zawil Arham*)</w:t>
      </w:r>
      <w:r>
        <w:rPr>
          <w:rFonts w:ascii="Malgun Gothic" w:hAnsi="Malgun Gothic"/>
          <w:color w:val="1E1E1E"/>
          <w:sz w:val="19"/>
        </w:rPr>
        <w:t>: Blood relations who inherit only if there are no living Sharers or Residuaries.</w:t>
      </w:r>
    </w:p>
    <w:p>
      <w:pPr>
        <w:spacing w:before="80" w:after="30"/>
      </w:pPr>
      <w:r>
        <w:rPr>
          <w:rFonts w:ascii="Malgun Gothic" w:hAnsi="Malgun Gothic"/>
          <w:b/>
          <w:color w:val="3C3C3C"/>
          <w:sz w:val="19"/>
        </w:rPr>
        <w:t>Family Tree Analysis for MAHADI MONOAR HOSSAIN:</w:t>
      </w:r>
    </w:p>
    <w:p>
      <w:pPr>
        <w:pStyle w:val="ListBullet"/>
        <w:spacing w:after="40" w:line="276" w:lineRule="auto"/>
      </w:pPr>
      <w:r>
        <w:rPr>
          <w:rFonts w:ascii="Malgun Gothic" w:hAnsi="Malgun Gothic"/>
          <w:b/>
          <w:color w:val="1E1E1E"/>
          <w:sz w:val="19"/>
        </w:rPr>
        <w:t>Deceased</w:t>
      </w:r>
      <w:r>
        <w:rPr>
          <w:rFonts w:ascii="Malgun Gothic" w:hAnsi="Malgun Gothic"/>
          <w:color w:val="1E1E1E"/>
          <w:sz w:val="19"/>
        </w:rPr>
        <w:t>: MAHADI MONOAR HOSSAIN (Male, Unmarried, Intestate).</w:t>
      </w:r>
    </w:p>
    <w:p>
      <w:pPr>
        <w:pStyle w:val="ListBullet"/>
        <w:spacing w:after="40" w:line="276" w:lineRule="auto"/>
      </w:pPr>
      <w:r>
        <w:rPr>
          <w:rFonts w:ascii="Malgun Gothic" w:hAnsi="Malgun Gothic"/>
          <w:b/>
          <w:color w:val="1E1E1E"/>
          <w:sz w:val="19"/>
        </w:rPr>
        <w:t>Spouse</w:t>
      </w:r>
      <w:r>
        <w:rPr>
          <w:rFonts w:ascii="Malgun Gothic" w:hAnsi="Malgun Gothic"/>
          <w:color w:val="1E1E1E"/>
          <w:sz w:val="19"/>
        </w:rPr>
        <w:t>: None (Never married).</w:t>
      </w:r>
    </w:p>
    <w:p>
      <w:pPr>
        <w:pStyle w:val="ListBullet"/>
        <w:spacing w:after="40" w:line="276" w:lineRule="auto"/>
      </w:pPr>
      <w:r>
        <w:rPr>
          <w:rFonts w:ascii="Malgun Gothic" w:hAnsi="Malgun Gothic"/>
          <w:b/>
          <w:color w:val="1E1E1E"/>
          <w:sz w:val="19"/>
        </w:rPr>
        <w:t>Descendants (*Awlad*)</w:t>
      </w:r>
      <w:r>
        <w:rPr>
          <w:rFonts w:ascii="Malgun Gothic" w:hAnsi="Malgun Gothic"/>
          <w:color w:val="1E1E1E"/>
          <w:sz w:val="19"/>
        </w:rPr>
        <w:t>: None (No children or grandchildren).</w:t>
      </w:r>
    </w:p>
    <w:p>
      <w:pPr>
        <w:pStyle w:val="ListBullet"/>
        <w:spacing w:after="40" w:line="276" w:lineRule="auto"/>
      </w:pPr>
      <w:r>
        <w:rPr>
          <w:rFonts w:ascii="Malgun Gothic" w:hAnsi="Malgun Gothic"/>
          <w:b/>
          <w:color w:val="1E1E1E"/>
          <w:sz w:val="19"/>
        </w:rPr>
        <w:t>Ascendants</w:t>
      </w:r>
      <w:r>
        <w:rPr>
          <w:rFonts w:ascii="Malgun Gothic" w:hAnsi="Malgun Gothic"/>
          <w:color w:val="1E1E1E"/>
          <w:sz w:val="19"/>
        </w:rPr>
        <w:t>:</w:t>
      </w:r>
    </w:p>
    <w:p>
      <w:pPr>
        <w:spacing w:after="50" w:line="276" w:lineRule="auto"/>
      </w:pPr>
      <w:r>
        <w:rPr>
          <w:rFonts w:ascii="Malgun Gothic" w:hAnsi="Malgun Gothic"/>
          <w:color w:val="1E1E1E"/>
          <w:sz w:val="19"/>
        </w:rPr>
        <w:t xml:space="preserve">  - Father: </w:t>
      </w:r>
      <w:r>
        <w:rPr>
          <w:rFonts w:ascii="Malgun Gothic" w:hAnsi="Malgun Gothic"/>
          <w:b/>
          <w:color w:val="1E1E1E"/>
          <w:sz w:val="19"/>
        </w:rPr>
        <w:t>BELAL HOSSAIN</w:t>
      </w:r>
      <w:r>
        <w:rPr>
          <w:rFonts w:ascii="Malgun Gothic" w:hAnsi="Malgun Gothic"/>
          <w:color w:val="1E1E1E"/>
          <w:sz w:val="19"/>
        </w:rPr>
        <w:t xml:space="preserve"> (Alive).</w:t>
      </w:r>
    </w:p>
    <w:p>
      <w:pPr>
        <w:spacing w:after="50" w:line="276" w:lineRule="auto"/>
      </w:pPr>
      <w:r>
        <w:rPr>
          <w:rFonts w:ascii="Malgun Gothic" w:hAnsi="Malgun Gothic"/>
          <w:color w:val="1E1E1E"/>
          <w:sz w:val="19"/>
        </w:rPr>
        <w:t xml:space="preserve">  - Mother: </w:t>
      </w:r>
      <w:r>
        <w:rPr>
          <w:rFonts w:ascii="Malgun Gothic" w:hAnsi="Malgun Gothic"/>
          <w:b/>
          <w:color w:val="1E1E1E"/>
          <w:sz w:val="19"/>
        </w:rPr>
        <w:t>MONOARA BEGUM</w:t>
      </w:r>
      <w:r>
        <w:rPr>
          <w:rFonts w:ascii="Malgun Gothic" w:hAnsi="Malgun Gothic"/>
          <w:color w:val="1E1E1E"/>
          <w:sz w:val="19"/>
        </w:rPr>
        <w:t xml:space="preserve"> (Alive).</w:t>
      </w:r>
    </w:p>
    <w:p>
      <w:pPr>
        <w:spacing w:after="50" w:line="276" w:lineRule="auto"/>
      </w:pPr>
      <w:r>
        <w:rPr>
          <w:rFonts w:ascii="Malgun Gothic" w:hAnsi="Malgun Gothic"/>
          <w:color w:val="1E1E1E"/>
          <w:sz w:val="19"/>
        </w:rPr>
        <w:t xml:space="preserve">  - Grandparents: Excluded by living parents.</w:t>
      </w:r>
    </w:p>
    <w:p>
      <w:pPr>
        <w:pStyle w:val="ListBullet"/>
        <w:spacing w:after="40" w:line="276" w:lineRule="auto"/>
      </w:pPr>
      <w:r>
        <w:rPr>
          <w:rFonts w:ascii="Malgun Gothic" w:hAnsi="Malgun Gothic"/>
          <w:b/>
          <w:color w:val="1E1E1E"/>
          <w:sz w:val="19"/>
        </w:rPr>
        <w:t>Collaterals</w:t>
      </w:r>
      <w:r>
        <w:rPr>
          <w:rFonts w:ascii="Malgun Gothic" w:hAnsi="Malgun Gothic"/>
          <w:color w:val="1E1E1E"/>
          <w:sz w:val="19"/>
        </w:rPr>
        <w:t>: Siblings (if any) are completely excluded (*Mahjub*) by the presence of the living Father.</w:t>
      </w:r>
    </w:p>
    <w:p>
      <w:pPr>
        <w:spacing w:before="60" w:after="60"/>
      </w:pPr>
      <w:r>
        <w:rPr>
          <w:color w:val="BEBEBE"/>
        </w:rPr>
        <w:t>―――――――――――――――――――――――――――――――――――――――――――――</w:t>
      </w:r>
    </w:p>
    <w:p>
      <w:pPr>
        <w:spacing w:before="120" w:after="40"/>
      </w:pPr>
      <w:r>
        <w:rPr>
          <w:rFonts w:ascii="Malgun Gothic" w:hAnsi="Malgun Gothic"/>
          <w:b/>
          <w:color w:val="3C3C3C"/>
          <w:sz w:val="20"/>
        </w:rPr>
        <w:t>2.3 Mathematical Derivation of Inheritance Shares: Father (2/3) &amp; Mother (1/3)</w:t>
      </w:r>
    </w:p>
    <w:tbl>
      <w:tblPr>
        <w:tblW w:type="auto" w:w="0"/>
        <w:jc w:val="center"/>
        <w:tblLook w:firstColumn="1" w:firstRow="1" w:lastColumn="0" w:lastRow="0" w:noHBand="0" w:noVBand="1" w:val="04A0"/>
      </w:tblPr>
      <w:tblGrid>
        <w:gridCol w:w="10224"/>
      </w:tblGrid>
      <w:tr>
        <w:tc>
          <w:tcPr>
            <w:tcW w:type="dxa" w:w="10224"/>
            <w:shd w:fill="F4F6F9"/>
            <w:tcMar>
              <w:top w:w="100" w:type="dxa"/>
              <w:bottom w:w="100" w:type="dxa"/>
              <w:left w:w="120" w:type="dxa"/>
              <w:right w:w="120" w:type="dxa"/>
            </w:tcMar>
          </w:tcPr>
          <w:p>
            <w:pPr>
              <w:spacing w:after="0" w:line="252" w:lineRule="auto"/>
            </w:pPr>
            <w:r>
              <w:rPr>
                <w:rFonts w:ascii="Consolas" w:hAnsi="Consolas"/>
                <w:color w:val="1E1E1E"/>
                <w:sz w:val="15"/>
              </w:rPr>
              <w:t>====================================================================================================</w:t>
              <w:br/>
              <w:t>HEIR IDENTITY         RELATIONSHIP    HANAFI CATEGORY     STATUTORY &amp; QURANIC BASIS     FINAL SHARE</w:t>
              <w:br/>
              <w:t>====================================================================================================</w:t>
              <w:br/>
              <w:t>MONOARA BEGUM         Mother (모)     Sharer              Holy Quran Surah An-Nisa 4:11 1/3 (33.333%)</w:t>
              <w:br/>
              <w:t xml:space="preserve">                                      (Zawil Furud)       (No children, no multiple sibs)</w:t>
              <w:br/>
              <w:t>----------------------------------------------------------------------------------------------------</w:t>
              <w:br/>
              <w:t>BELAL HOSSAIN         Father (부)     Agnatic Residuary   Sirajiyyah Rule of Asaba      2/3 (66.667%)</w:t>
              <w:br/>
              <w:t xml:space="preserve">                                      (Asaba)             (Takes entire estate residue)</w:t>
              <w:br/>
              <w:t>====================================================================================================</w:t>
              <w:br/>
              <w:t>TOTAL COMBINED HEIRS                  SOLE LEGAL HEIRS    FULL ESTATE &amp; CLAIM RIGHTS    100.000%</w:t>
              <w:br/>
              <w:t>====================================================================================================</w:t>
            </w:r>
          </w:p>
        </w:tc>
      </w:tr>
    </w:tbl>
    <w:p/>
    <w:p>
      <w:pPr>
        <w:spacing w:before="80" w:after="30"/>
      </w:pPr>
      <w:r>
        <w:rPr>
          <w:rFonts w:ascii="Malgun Gothic" w:hAnsi="Malgun Gothic"/>
          <w:b/>
          <w:color w:val="3C3C3C"/>
          <w:sz w:val="19"/>
        </w:rPr>
        <w:t>Step-by-Step Doctrinal Computation:</w:t>
      </w:r>
    </w:p>
    <w:p>
      <w:pPr>
        <w:pStyle w:val="ListNumber"/>
        <w:spacing w:after="40" w:line="276" w:lineRule="auto"/>
      </w:pPr>
      <w:r>
        <w:rPr>
          <w:rFonts w:ascii="Malgun Gothic" w:hAnsi="Malgun Gothic"/>
          <w:b/>
          <w:color w:val="1E1E1E"/>
          <w:sz w:val="19"/>
        </w:rPr>
        <w:t>Mother Prescribed Share (1/3)</w:t>
      </w:r>
      <w:r>
        <w:rPr>
          <w:rFonts w:ascii="Malgun Gothic" w:hAnsi="Malgun Gothic"/>
          <w:color w:val="1E1E1E"/>
          <w:sz w:val="19"/>
        </w:rPr>
        <w:t>:</w:t>
      </w:r>
    </w:p>
    <w:p>
      <w:pPr>
        <w:spacing w:after="50" w:line="276" w:lineRule="auto"/>
      </w:pPr>
      <w:r>
        <w:rPr>
          <w:rFonts w:ascii="Malgun Gothic" w:hAnsi="Malgun Gothic"/>
          <w:color w:val="1E1E1E"/>
          <w:sz w:val="19"/>
        </w:rPr>
        <w:t xml:space="preserve">   - Quran Surah An-Nisa (4:11) dictates: *If he have no child, and his parents be his heirs, then to his mother appertaineth the third.*</w:t>
      </w:r>
    </w:p>
    <w:p>
      <w:pPr>
        <w:spacing w:after="50" w:line="276" w:lineRule="auto"/>
      </w:pPr>
      <w:r>
        <w:rPr>
          <w:rFonts w:ascii="Malgun Gothic" w:hAnsi="Malgun Gothic"/>
          <w:color w:val="1E1E1E"/>
          <w:sz w:val="19"/>
        </w:rPr>
        <w:t xml:space="preserve">   - Because the deceased left no children and no multiple brothers or sisters, the mother share does not reduce to 1/6 (*Hujub Nuqsan*); it remains fixed at </w:t>
      </w:r>
      <w:r>
        <w:rPr>
          <w:rFonts w:ascii="Malgun Gothic" w:hAnsi="Malgun Gothic"/>
          <w:b/>
          <w:color w:val="1E1E1E"/>
          <w:sz w:val="19"/>
        </w:rPr>
        <w:t>1/3 (33.333%)</w:t>
      </w:r>
      <w:r>
        <w:rPr>
          <w:rFonts w:ascii="Malgun Gothic" w:hAnsi="Malgun Gothic"/>
          <w:color w:val="1E1E1E"/>
          <w:sz w:val="19"/>
        </w:rPr>
        <w:t>.</w:t>
      </w:r>
    </w:p>
    <w:p>
      <w:pPr>
        <w:pStyle w:val="ListNumber"/>
        <w:spacing w:after="40" w:line="276" w:lineRule="auto"/>
      </w:pPr>
      <w:r>
        <w:rPr>
          <w:rFonts w:ascii="Malgun Gothic" w:hAnsi="Malgun Gothic"/>
          <w:b/>
          <w:color w:val="1E1E1E"/>
          <w:sz w:val="19"/>
        </w:rPr>
        <w:t>Father Residuary Share (2/3)</w:t>
      </w:r>
      <w:r>
        <w:rPr>
          <w:rFonts w:ascii="Malgun Gothic" w:hAnsi="Malgun Gothic"/>
          <w:color w:val="1E1E1E"/>
          <w:sz w:val="19"/>
        </w:rPr>
        <w:t>:</w:t>
      </w:r>
    </w:p>
    <w:p>
      <w:pPr>
        <w:spacing w:after="50" w:line="276" w:lineRule="auto"/>
      </w:pPr>
      <w:r>
        <w:rPr>
          <w:rFonts w:ascii="Malgun Gothic" w:hAnsi="Malgun Gothic"/>
          <w:color w:val="1E1E1E"/>
          <w:sz w:val="19"/>
        </w:rPr>
        <w:t xml:space="preserve">   - Under Hanafi jurisprudence, where the deceased leaves no children/descendants, the father inherits as the primary </w:t>
      </w:r>
      <w:r>
        <w:rPr>
          <w:rFonts w:ascii="Malgun Gothic" w:hAnsi="Malgun Gothic"/>
          <w:b/>
          <w:color w:val="1E1E1E"/>
          <w:sz w:val="19"/>
        </w:rPr>
        <w:t>Agnatic Residuary (*Asaba*)</w:t>
      </w:r>
      <w:r>
        <w:rPr>
          <w:rFonts w:ascii="Malgun Gothic" w:hAnsi="Malgun Gothic"/>
          <w:color w:val="1E1E1E"/>
          <w:sz w:val="19"/>
        </w:rPr>
        <w:t>.</w:t>
      </w:r>
    </w:p>
    <w:p>
      <w:pPr>
        <w:spacing w:after="50" w:line="276" w:lineRule="auto"/>
      </w:pPr>
      <w:r>
        <w:rPr>
          <w:rFonts w:ascii="Malgun Gothic" w:hAnsi="Malgun Gothic"/>
          <w:color w:val="1E1E1E"/>
          <w:sz w:val="19"/>
        </w:rPr>
        <w:t xml:space="preserve">   - After satisfying the mother 1/3 share, the entire remaining residue of the estate ( - 1/3 = 2/3$) vests exclusively in the Father.</w:t>
      </w:r>
    </w:p>
    <w:p>
      <w:pPr>
        <w:pStyle w:val="ListNumber"/>
        <w:spacing w:after="40" w:line="276" w:lineRule="auto"/>
      </w:pPr>
      <w:r>
        <w:rPr>
          <w:rFonts w:ascii="Malgun Gothic" w:hAnsi="Malgun Gothic"/>
          <w:b/>
          <w:color w:val="1E1E1E"/>
          <w:sz w:val="19"/>
        </w:rPr>
        <w:t>Complete Exclusion of Collateral Relatives (*Al-Hajib*)</w:t>
      </w:r>
      <w:r>
        <w:rPr>
          <w:rFonts w:ascii="Malgun Gothic" w:hAnsi="Malgun Gothic"/>
          <w:color w:val="1E1E1E"/>
          <w:sz w:val="19"/>
        </w:rPr>
        <w:t>:</w:t>
      </w:r>
    </w:p>
    <w:p>
      <w:pPr>
        <w:spacing w:after="50" w:line="276" w:lineRule="auto"/>
      </w:pPr>
      <w:r>
        <w:rPr>
          <w:rFonts w:ascii="Malgun Gothic" w:hAnsi="Malgun Gothic"/>
          <w:color w:val="1E1E1E"/>
          <w:sz w:val="19"/>
        </w:rPr>
        <w:t xml:space="preserve">   - Under the rule of total exclusion, the existence of the Father totally excludes all brothers, sisters, uncles, aunts, and collateral relatives from any share in the estate.</w:t>
      </w:r>
    </w:p>
    <w:p>
      <w:pPr>
        <w:spacing w:after="50" w:line="276" w:lineRule="auto"/>
      </w:pPr>
      <w:r>
        <w:rPr>
          <w:rFonts w:ascii="Malgun Gothic" w:hAnsi="Malgun Gothic"/>
          <w:color w:val="1E1E1E"/>
          <w:sz w:val="19"/>
        </w:rPr>
        <w:t xml:space="preserve">   - </w:t>
      </w:r>
      <w:r>
        <w:rPr>
          <w:rFonts w:ascii="Malgun Gothic" w:hAnsi="Malgun Gothic"/>
          <w:b/>
          <w:color w:val="1E1E1E"/>
          <w:sz w:val="19"/>
        </w:rPr>
        <w:t>Conclusion</w:t>
      </w:r>
      <w:r>
        <w:rPr>
          <w:rFonts w:ascii="Malgun Gothic" w:hAnsi="Malgun Gothic"/>
          <w:color w:val="1E1E1E"/>
          <w:sz w:val="19"/>
        </w:rPr>
        <w:t xml:space="preserve">: BELAL HOSSAIN (66.667%) and MONOARA BEGUM (33.333%) are the </w:t>
      </w:r>
      <w:r>
        <w:rPr>
          <w:rFonts w:ascii="Malgun Gothic" w:hAnsi="Malgun Gothic"/>
          <w:b/>
          <w:color w:val="1E1E1E"/>
          <w:sz w:val="19"/>
        </w:rPr>
        <w:t>100% sole and exclusive legal heirs</w:t>
      </w:r>
      <w:r>
        <w:rPr>
          <w:rFonts w:ascii="Malgun Gothic" w:hAnsi="Malgun Gothic"/>
          <w:color w:val="1E1E1E"/>
          <w:sz w:val="19"/>
        </w:rPr>
        <w:t>.</w:t>
      </w:r>
    </w:p>
    <w:p>
      <w:pPr>
        <w:spacing w:before="60" w:after="60"/>
      </w:pPr>
      <w:r>
        <w:rPr>
          <w:color w:val="BEBEBE"/>
        </w:rPr>
        <w:t>―――――――――――――――――――――――――――――――――――――――――――――</w:t>
      </w:r>
    </w:p>
    <w:p>
      <w:pPr>
        <w:spacing w:before="120" w:after="40"/>
      </w:pPr>
      <w:r>
        <w:rPr>
          <w:rFonts w:ascii="Malgun Gothic" w:hAnsi="Malgun Gothic"/>
          <w:b/>
          <w:color w:val="3C3C3C"/>
          <w:sz w:val="20"/>
        </w:rPr>
        <w:t>2.4 Legal Nature of Accidental Death Benefits: Inherent Property of Heirs (고유재산)</w:t>
      </w:r>
    </w:p>
    <w:p>
      <w:pPr>
        <w:spacing w:after="50" w:line="276" w:lineRule="auto"/>
      </w:pPr>
      <w:r>
        <w:rPr>
          <w:rFonts w:ascii="Malgun Gothic" w:hAnsi="Malgun Gothic"/>
          <w:color w:val="1E1E1E"/>
          <w:sz w:val="19"/>
        </w:rPr>
        <w:t>Under established Korean Supreme Court jurisprudence (</w:t>
      </w:r>
      <w:r>
        <w:rPr>
          <w:rFonts w:ascii="Malgun Gothic" w:hAnsi="Malgun Gothic"/>
          <w:b/>
          <w:color w:val="1E1E1E"/>
          <w:sz w:val="19"/>
        </w:rPr>
        <w:t>Supreme Court Decision 2003Da29463 rendered July 9, 2004</w:t>
      </w:r>
      <w:r>
        <w:rPr>
          <w:rFonts w:ascii="Malgun Gothic" w:hAnsi="Malgun Gothic"/>
          <w:color w:val="1E1E1E"/>
          <w:sz w:val="19"/>
        </w:rPr>
        <w:t xml:space="preserve">; </w:t>
      </w:r>
      <w:r>
        <w:rPr>
          <w:rFonts w:ascii="Malgun Gothic" w:hAnsi="Malgun Gothic"/>
          <w:b/>
          <w:color w:val="1E1E1E"/>
          <w:sz w:val="19"/>
        </w:rPr>
        <w:t>Supreme Court Decision 2000Da31502 rendered December 28, 2001</w:t>
      </w:r>
      <w:r>
        <w:rPr>
          <w:rFonts w:ascii="Malgun Gothic" w:hAnsi="Malgun Gothic"/>
          <w:color w:val="1E1E1E"/>
          <w:sz w:val="19"/>
        </w:rPr>
        <w:t>):</w:t>
      </w:r>
    </w:p>
    <w:p>
      <w:pPr>
        <w:pStyle w:val="ListNumber"/>
        <w:spacing w:after="40" w:line="276" w:lineRule="auto"/>
      </w:pPr>
      <w:r>
        <w:rPr>
          <w:rFonts w:ascii="Malgun Gothic" w:hAnsi="Malgun Gothic"/>
          <w:color w:val="1E1E1E"/>
          <w:sz w:val="19"/>
        </w:rPr>
        <w:t>Where an automobile first-party accidental death insurance policy (자손/자상) or group accident policy designates [statutory heirs] (법정상속인) as beneficiaries (or specifies no beneficiary):</w:t>
      </w:r>
    </w:p>
    <w:p>
      <w:pPr>
        <w:spacing w:after="50" w:line="276" w:lineRule="auto"/>
      </w:pPr>
      <w:r>
        <w:rPr>
          <w:rFonts w:ascii="Malgun Gothic" w:hAnsi="Malgun Gothic"/>
          <w:color w:val="1E1E1E"/>
          <w:sz w:val="19"/>
        </w:rPr>
        <w:t xml:space="preserve">   - The death benefit proceeds do </w:t>
      </w:r>
      <w:r>
        <w:rPr>
          <w:rFonts w:ascii="Malgun Gothic" w:hAnsi="Malgun Gothic"/>
          <w:b/>
          <w:color w:val="1E1E1E"/>
          <w:sz w:val="19"/>
        </w:rPr>
        <w:t>NOT</w:t>
      </w:r>
      <w:r>
        <w:rPr>
          <w:rFonts w:ascii="Malgun Gothic" w:hAnsi="Malgun Gothic"/>
          <w:color w:val="1E1E1E"/>
          <w:sz w:val="19"/>
        </w:rPr>
        <w:t xml:space="preserve"> form part of the deceased insolvent estate.</w:t>
      </w:r>
    </w:p>
    <w:p>
      <w:pPr>
        <w:spacing w:after="50" w:line="276" w:lineRule="auto"/>
      </w:pPr>
      <w:r>
        <w:rPr>
          <w:rFonts w:ascii="Malgun Gothic" w:hAnsi="Malgun Gothic"/>
          <w:color w:val="1E1E1E"/>
          <w:sz w:val="19"/>
        </w:rPr>
        <w:t xml:space="preserve">   - The claim right is acquired directly and originally by the statutory heirs as their </w:t>
      </w:r>
      <w:r>
        <w:rPr>
          <w:rFonts w:ascii="Malgun Gothic" w:hAnsi="Malgun Gothic"/>
          <w:b/>
          <w:color w:val="1E1E1E"/>
          <w:sz w:val="19"/>
        </w:rPr>
        <w:t>inherent, original property (상속인의 고유재산)</w:t>
      </w:r>
      <w:r>
        <w:rPr>
          <w:rFonts w:ascii="Malgun Gothic" w:hAnsi="Malgun Gothic"/>
          <w:color w:val="1E1E1E"/>
          <w:sz w:val="19"/>
        </w:rPr>
        <w:t>.</w:t>
      </w:r>
    </w:p>
    <w:p>
      <w:pPr>
        <w:pStyle w:val="ListNumber"/>
        <w:spacing w:after="40" w:line="276" w:lineRule="auto"/>
      </w:pPr>
      <w:r>
        <w:rPr>
          <w:rFonts w:ascii="Malgun Gothic" w:hAnsi="Malgun Gothic"/>
          <w:color w:val="1E1E1E"/>
          <w:sz w:val="19"/>
        </w:rPr>
        <w:t>The proceeds cannot be seized by general creditors of the deceased foreign student, and are payable directly to Belal Hossain (2/3) and Monoara Begum (1/3) in accordance with Bangladeshi succession law.</w:t>
      </w:r>
    </w:p>
    <w:p>
      <w:pPr>
        <w:spacing w:before="60" w:after="60"/>
      </w:pPr>
      <w:r>
        <w:rPr>
          <w:color w:val="BEBEBE"/>
        </w:rPr>
        <w:t>―――――――――――――――――――――――――――――――――――――――――――――</w:t>
      </w:r>
    </w:p>
    <w:p>
      <w:pPr>
        <w:spacing w:before="180" w:after="60"/>
      </w:pPr>
      <w:r>
        <w:rPr>
          <w:rFonts w:ascii="Malgun Gothic" w:hAnsi="Malgun Gothic"/>
          <w:b/>
          <w:color w:val="002060"/>
          <w:sz w:val="23"/>
        </w:rPr>
        <w:t>3. DUAL-TRACK DIPLOMATIC LEGALIZATION STRATEGY (APOSTILLE VS CONSULAR LEGALIZATION)</w:t>
      </w:r>
    </w:p>
    <w:tbl>
      <w:tblPr>
        <w:tblW w:type="auto" w:w="0"/>
        <w:jc w:val="center"/>
        <w:tblLook w:firstColumn="1" w:firstRow="1" w:lastColumn="0" w:lastRow="0" w:noHBand="0" w:noVBand="1" w:val="04A0"/>
      </w:tblPr>
      <w:tblGrid>
        <w:gridCol w:w="10224"/>
      </w:tblGrid>
      <w:tr>
        <w:tc>
          <w:tcPr>
            <w:tcW w:type="dxa" w:w="10224"/>
            <w:shd w:fill="F4F6F9"/>
            <w:tcMar>
              <w:top w:w="100" w:type="dxa"/>
              <w:bottom w:w="100" w:type="dxa"/>
              <w:left w:w="120" w:type="dxa"/>
              <w:right w:w="120" w:type="dxa"/>
            </w:tcMar>
          </w:tcPr>
          <w:p>
            <w:pPr>
              <w:spacing w:after="0" w:line="252" w:lineRule="auto"/>
            </w:pPr>
            <w:r>
              <w:rPr>
                <w:rFonts w:ascii="Consolas" w:hAnsi="Consolas"/>
                <w:color w:val="1E1E1E"/>
                <w:sz w:val="15"/>
              </w:rPr>
              <w:t>====================================================================================================</w:t>
              <w:br/>
              <w:t>DIPLOMATIC LEGALIZATION DUAL-TRACK FRAMEWORK</w:t>
              <w:br/>
              <w:t>====================================================================================================</w:t>
              <w:br/>
              <w:t xml:space="preserve">                                 ┌──────────────────────────────┐</w:t>
              <w:br/>
              <w:t xml:space="preserve">                                 │   DOCUMENT ORIGIN: DHAKA     │</w:t>
              <w:br/>
              <w:t xml:space="preserve">                                 │   - Legal Heir Certificate   │</w:t>
              <w:br/>
              <w:t xml:space="preserve">                                 │   - Family Relationship Cert │</w:t>
              <w:br/>
              <w:t xml:space="preserve">                                 │   - Bilingual Special POA    │</w:t>
              <w:br/>
              <w:t xml:space="preserve">                                 └──────────────┬───────────────┘</w:t>
              <w:br/>
              <w:t xml:space="preserve">                                                │</w:t>
              <w:br/>
              <w:t xml:space="preserve">                                                ▼</w:t>
              <w:br/>
              <w:t xml:space="preserve">                                 ┌──────────────────────────────┐</w:t>
              <w:br/>
              <w:t xml:space="preserve">                                 │    NOTARY PUBLIC (DHAKA)     │</w:t>
              <w:br/>
              <w:t xml:space="preserve">                                 │   Verification &amp; Signature   │</w:t>
              <w:br/>
              <w:t xml:space="preserve">                                 └──────────────┬───────────────┘</w:t>
              <w:br/>
              <w:t xml:space="preserve">                                                │</w:t>
              <w:br/>
              <w:t xml:space="preserve">                ┌───────────────────────────────┴───────────────────────────────┐</w:t>
              <w:br/>
              <w:t xml:space="preserve">                │                                                               │</w:t>
              <w:br/>
              <w:t xml:space="preserve">                ▼                                                               ▼</w:t>
              <w:br/>
              <w:t xml:space="preserve"> ┌──────────────────────────────┐                               ┌──────────────────────────────┐</w:t>
              <w:br/>
              <w:t xml:space="preserve"> │ TRACK A: HAGUE APOSTILLE     │                               │ TRACK B: CONSULAR LEGALIZAT. │</w:t>
              <w:br/>
              <w:t xml:space="preserve"> │                              │                               │                              │</w:t>
              <w:br/>
              <w:t xml:space="preserve"> │ 1. MOFA Dhaka Apostille Stamp│                               │ 1. MOFA Dhaka Attestation    │</w:t>
              <w:br/>
              <w:t xml:space="preserve"> │ 2. Direct Submission in ROK  │                               │ 2. Embassy of Korea in Dhaka │</w:t>
              <w:br/>
              <w:t xml:space="preserve"> │                              │                               │    Consular Stamp (영사확인) │</w:t>
              <w:br/>
              <w:t xml:space="preserve"> │                              │                               │ 3. Direct Submission in ROK  │</w:t>
              <w:br/>
              <w:t xml:space="preserve"> └──────────────┬───────────────┘                               └──────────────┬───────────────┘</w:t>
              <w:br/>
              <w:t xml:space="preserve">                │                                                               │</w:t>
              <w:br/>
              <w:t xml:space="preserve">                └───────────────────────────────┬───────────────────────────────┘</w:t>
              <w:br/>
              <w:t xml:space="preserve">                                                │</w:t>
              <w:br/>
              <w:t xml:space="preserve">                                                ▼</w:t>
              <w:br/>
              <w:t xml:space="preserve">                                 ┌──────────────────────────────┐</w:t>
              <w:br/>
              <w:t xml:space="preserve">                                 │   SOUTH KOREA IN-COUNTRY     │</w:t>
              <w:br/>
              <w:t xml:space="preserve">                                 │  Korean Translation Cert.    │</w:t>
              <w:br/>
              <w:t xml:space="preserve">                                 │  (외국어번역행정사 번역확인서)  │</w:t>
              <w:br/>
              <w:t xml:space="preserve">                                 └──────────────────────────────┘</w:t>
              <w:br/>
              <w:t>====================================================================================================</w:t>
            </w:r>
          </w:p>
        </w:tc>
      </w:tr>
    </w:tbl>
    <w:p/>
    <w:p>
      <w:pPr>
        <w:spacing w:before="120" w:after="40"/>
      </w:pPr>
      <w:r>
        <w:rPr>
          <w:rFonts w:ascii="Malgun Gothic" w:hAnsi="Malgun Gothic"/>
          <w:b/>
          <w:color w:val="3C3C3C"/>
          <w:sz w:val="20"/>
        </w:rPr>
        <w:t>3.1 International Legal Context &amp; Institutional Realities in South Korea</w:t>
      </w:r>
    </w:p>
    <w:p>
      <w:pPr>
        <w:pStyle w:val="ListNumber"/>
        <w:spacing w:after="40" w:line="276" w:lineRule="auto"/>
      </w:pPr>
      <w:r>
        <w:rPr>
          <w:rFonts w:ascii="Malgun Gothic" w:hAnsi="Malgun Gothic"/>
          <w:b/>
          <w:color w:val="1E1E1E"/>
          <w:sz w:val="19"/>
        </w:rPr>
        <w:t>International Treaty Status</w:t>
      </w:r>
      <w:r>
        <w:rPr>
          <w:rFonts w:ascii="Malgun Gothic" w:hAnsi="Malgun Gothic"/>
          <w:color w:val="1E1E1E"/>
          <w:sz w:val="19"/>
        </w:rPr>
        <w:t>:</w:t>
      </w:r>
    </w:p>
    <w:p>
      <w:pPr>
        <w:spacing w:after="50" w:line="276" w:lineRule="auto"/>
      </w:pPr>
      <w:r>
        <w:rPr>
          <w:rFonts w:ascii="Malgun Gothic" w:hAnsi="Malgun Gothic"/>
          <w:color w:val="1E1E1E"/>
          <w:sz w:val="19"/>
        </w:rPr>
        <w:t xml:space="preserve">   - The Republic of Korea acceded to the Hague Apostille Convention on October 25, 2006 (effective July 14, 2007).</w:t>
      </w:r>
    </w:p>
    <w:p>
      <w:pPr>
        <w:spacing w:after="50" w:line="276" w:lineRule="auto"/>
      </w:pPr>
      <w:r>
        <w:rPr>
          <w:rFonts w:ascii="Malgun Gothic" w:hAnsi="Malgun Gothic"/>
          <w:color w:val="1E1E1E"/>
          <w:sz w:val="19"/>
        </w:rPr>
        <w:t xml:space="preserve">   - The People Republic of Bangladesh acceded to the Hague Apostille Convention in July 2023.</w:t>
      </w:r>
    </w:p>
    <w:p>
      <w:pPr>
        <w:pStyle w:val="ListNumber"/>
        <w:spacing w:after="40" w:line="276" w:lineRule="auto"/>
      </w:pPr>
      <w:r>
        <w:rPr>
          <w:rFonts w:ascii="Malgun Gothic" w:hAnsi="Malgun Gothic"/>
          <w:b/>
          <w:color w:val="1E1E1E"/>
          <w:sz w:val="19"/>
        </w:rPr>
        <w:t>Institutional Practicalities in South Korea</w:t>
      </w:r>
      <w:r>
        <w:rPr>
          <w:rFonts w:ascii="Malgun Gothic" w:hAnsi="Malgun Gothic"/>
          <w:color w:val="1E1E1E"/>
          <w:sz w:val="19"/>
        </w:rPr>
        <w:t>:</w:t>
      </w:r>
    </w:p>
    <w:p>
      <w:pPr>
        <w:spacing w:after="50" w:line="276" w:lineRule="auto"/>
      </w:pPr>
      <w:r>
        <w:rPr>
          <w:rFonts w:ascii="Malgun Gothic" w:hAnsi="Malgun Gothic"/>
          <w:color w:val="1E1E1E"/>
          <w:sz w:val="19"/>
        </w:rPr>
        <w:t xml:space="preserve">   - Although a Hague Apostille issued by the Ministry of Foreign Affairs (MOFA), Dhaka, has full formal validity under international law, Korean commercial claims adjusters at DB Insurance, compliance officers at foreign exchange banks, and the Financial Supervisory Service (FSS) often apply conservative internal scrutiny to documents from newly acceding jurisdictions.</w:t>
      </w:r>
    </w:p>
    <w:p>
      <w:pPr>
        <w:pStyle w:val="ListNumber"/>
        <w:spacing w:after="40" w:line="276" w:lineRule="auto"/>
      </w:pPr>
      <w:r>
        <w:rPr>
          <w:rFonts w:ascii="Malgun Gothic" w:hAnsi="Malgun Gothic"/>
          <w:b/>
          <w:color w:val="1E1E1E"/>
          <w:sz w:val="19"/>
        </w:rPr>
        <w:t>The Dual-Track Solution</w:t>
      </w:r>
      <w:r>
        <w:rPr>
          <w:rFonts w:ascii="Malgun Gothic" w:hAnsi="Malgun Gothic"/>
          <w:color w:val="1E1E1E"/>
          <w:sz w:val="19"/>
        </w:rPr>
        <w:t>:</w:t>
      </w:r>
    </w:p>
    <w:p>
      <w:pPr>
        <w:spacing w:after="50" w:line="276" w:lineRule="auto"/>
      </w:pPr>
      <w:r>
        <w:rPr>
          <w:rFonts w:ascii="Malgun Gothic" w:hAnsi="Malgun Gothic"/>
          <w:color w:val="1E1E1E"/>
          <w:sz w:val="19"/>
        </w:rPr>
        <w:t xml:space="preserve">   - </w:t>
      </w:r>
      <w:r>
        <w:rPr>
          <w:rFonts w:ascii="Malgun Gothic" w:hAnsi="Malgun Gothic"/>
          <w:b/>
          <w:color w:val="1E1E1E"/>
          <w:sz w:val="19"/>
        </w:rPr>
        <w:t>Track A (Apostille Route)</w:t>
      </w:r>
      <w:r>
        <w:rPr>
          <w:rFonts w:ascii="Malgun Gothic" w:hAnsi="Malgun Gothic"/>
          <w:color w:val="1E1E1E"/>
          <w:sz w:val="19"/>
        </w:rPr>
        <w:t>: Fastest route for administrative filings and university disclosures.</w:t>
      </w:r>
    </w:p>
    <w:p>
      <w:pPr>
        <w:spacing w:after="50" w:line="276" w:lineRule="auto"/>
      </w:pPr>
      <w:r>
        <w:rPr>
          <w:rFonts w:ascii="Malgun Gothic" w:hAnsi="Malgun Gothic"/>
          <w:color w:val="1E1E1E"/>
          <w:sz w:val="19"/>
        </w:rPr>
        <w:t xml:space="preserve">   - </w:t>
      </w:r>
      <w:r>
        <w:rPr>
          <w:rFonts w:ascii="Malgun Gothic" w:hAnsi="Malgun Gothic"/>
          <w:b/>
          <w:color w:val="1E1E1E"/>
          <w:sz w:val="19"/>
        </w:rPr>
        <w:t>Track B (Consular Legalization Route)</w:t>
      </w:r>
      <w:r>
        <w:rPr>
          <w:rFonts w:ascii="Malgun Gothic" w:hAnsi="Malgun Gothic"/>
          <w:color w:val="1E1E1E"/>
          <w:sz w:val="19"/>
        </w:rPr>
        <w:t xml:space="preserve">: The gold standard for financial payouts and litigation. Certified by MOFA Dhaka and legalized by the </w:t>
      </w:r>
      <w:r>
        <w:rPr>
          <w:rFonts w:ascii="Malgun Gothic" w:hAnsi="Malgun Gothic"/>
          <w:b/>
          <w:color w:val="1E1E1E"/>
          <w:sz w:val="19"/>
        </w:rPr>
        <w:t>Embassy of the Republic of Korea in Dhaka, Bangladesh (주방글라데시 대한민국 대사관)</w:t>
      </w:r>
      <w:r>
        <w:rPr>
          <w:rFonts w:ascii="Malgun Gothic" w:hAnsi="Malgun Gothic"/>
          <w:color w:val="1E1E1E"/>
          <w:sz w:val="19"/>
        </w:rPr>
        <w:t xml:space="preserve"> pursuant to Article 30 of the Overseas Missions Notarial Act. Under Korean Civil Procedure Code Article 356 (공문서의 진정성립 추정), Track B documents carry an irrebuttable presumption of official authenticity.</w:t>
      </w:r>
    </w:p>
    <w:p>
      <w:pPr>
        <w:spacing w:before="60" w:after="60"/>
      </w:pPr>
      <w:r>
        <w:rPr>
          <w:color w:val="BEBEBE"/>
        </w:rPr>
        <w:t>―――――――――――――――――――――――――――――――――――――――――――――</w:t>
      </w:r>
    </w:p>
    <w:p>
      <w:pPr>
        <w:spacing w:before="120" w:after="40"/>
      </w:pPr>
      <w:r>
        <w:rPr>
          <w:rFonts w:ascii="Malgun Gothic" w:hAnsi="Malgun Gothic"/>
          <w:b/>
          <w:color w:val="3C3C3C"/>
          <w:sz w:val="20"/>
        </w:rPr>
        <w:t>3.2 Detailed Step-by-Step Execution Protocols in Dhaka</w:t>
      </w:r>
    </w:p>
    <w:p>
      <w:pPr>
        <w:spacing w:before="80" w:after="30"/>
      </w:pPr>
      <w:r>
        <w:rPr>
          <w:rFonts w:ascii="Malgun Gothic" w:hAnsi="Malgun Gothic"/>
          <w:b/>
          <w:color w:val="3C3C3C"/>
          <w:sz w:val="19"/>
        </w:rPr>
        <w:t>Track A: Hague Apostille Step-by-Step Protocol</w:t>
      </w:r>
    </w:p>
    <w:p>
      <w:pPr>
        <w:pStyle w:val="ListNumber"/>
        <w:spacing w:after="40" w:line="276" w:lineRule="auto"/>
      </w:pPr>
      <w:r>
        <w:rPr>
          <w:rFonts w:ascii="Malgun Gothic" w:hAnsi="Malgun Gothic"/>
          <w:b/>
          <w:color w:val="1E1E1E"/>
          <w:sz w:val="19"/>
        </w:rPr>
        <w:t>Step 1 - Drafting &amp; Verification</w:t>
      </w:r>
      <w:r>
        <w:rPr>
          <w:rFonts w:ascii="Malgun Gothic" w:hAnsi="Malgun Gothic"/>
          <w:color w:val="1E1E1E"/>
          <w:sz w:val="19"/>
        </w:rPr>
        <w:t>: Draft the instrument (e.g., Bilingual Special POA) and assemble government certificates (Legal Heir Certificate, Family Relationship Certificate).</w:t>
      </w:r>
    </w:p>
    <w:p>
      <w:pPr>
        <w:pStyle w:val="ListNumber"/>
        <w:spacing w:after="40" w:line="276" w:lineRule="auto"/>
      </w:pPr>
      <w:r>
        <w:rPr>
          <w:rFonts w:ascii="Malgun Gothic" w:hAnsi="Malgun Gothic"/>
          <w:b/>
          <w:color w:val="1E1E1E"/>
          <w:sz w:val="19"/>
        </w:rPr>
        <w:t>Step 2 - Notarization</w:t>
      </w:r>
      <w:r>
        <w:rPr>
          <w:rFonts w:ascii="Malgun Gothic" w:hAnsi="Malgun Gothic"/>
          <w:color w:val="1E1E1E"/>
          <w:sz w:val="19"/>
        </w:rPr>
        <w:t>: Execute the documents before a licensed Notary Public in Dhaka/Cumilla. The Notary verifies identity via National ID Cards (NID) and affixes the official notarial seal and certificate.</w:t>
      </w:r>
    </w:p>
    <w:p>
      <w:pPr>
        <w:pStyle w:val="ListNumber"/>
        <w:spacing w:after="40" w:line="276" w:lineRule="auto"/>
      </w:pPr>
      <w:r>
        <w:rPr>
          <w:rFonts w:ascii="Malgun Gothic" w:hAnsi="Malgun Gothic"/>
          <w:b/>
          <w:color w:val="1E1E1E"/>
          <w:sz w:val="19"/>
        </w:rPr>
        <w:t>Step 3 - MOFA Apostille Issuance</w:t>
      </w:r>
      <w:r>
        <w:rPr>
          <w:rFonts w:ascii="Malgun Gothic" w:hAnsi="Malgun Gothic"/>
          <w:color w:val="1E1E1E"/>
          <w:sz w:val="19"/>
        </w:rPr>
        <w:t>: Submit the notarized dossier to the Ministry of Foreign Affairs (MOFA), Consular &amp; Official Documents Section, Segunbagicha, Dhaka. MOFA affixes the standardized Hague Apostille Certificate with a unique verification QR code / serial number.</w:t>
      </w:r>
    </w:p>
    <w:p>
      <w:pPr>
        <w:pStyle w:val="ListNumber"/>
        <w:spacing w:after="40" w:line="276" w:lineRule="auto"/>
      </w:pPr>
      <w:r>
        <w:rPr>
          <w:rFonts w:ascii="Malgun Gothic" w:hAnsi="Malgun Gothic"/>
          <w:b/>
          <w:color w:val="1E1E1E"/>
          <w:sz w:val="19"/>
        </w:rPr>
        <w:t>Step 4 - Dispatch to Korea</w:t>
      </w:r>
      <w:r>
        <w:rPr>
          <w:rFonts w:ascii="Malgun Gothic" w:hAnsi="Malgun Gothic"/>
          <w:color w:val="1E1E1E"/>
          <w:sz w:val="19"/>
        </w:rPr>
        <w:t>: Courier original Apostilled instruments to the appointed representative in Korea via DHL/FedEx.</w:t>
      </w:r>
    </w:p>
    <w:p>
      <w:pPr>
        <w:spacing w:before="80" w:after="30"/>
      </w:pPr>
      <w:r>
        <w:rPr>
          <w:rFonts w:ascii="Malgun Gothic" w:hAnsi="Malgun Gothic"/>
          <w:b/>
          <w:color w:val="3C3C3C"/>
          <w:sz w:val="19"/>
        </w:rPr>
        <w:t>Track B: Consular Legalization (전통적 영사확인) Step-by-Step Protocol</w:t>
      </w:r>
    </w:p>
    <w:p>
      <w:pPr>
        <w:pStyle w:val="ListNumber"/>
        <w:spacing w:after="40" w:line="276" w:lineRule="auto"/>
      </w:pPr>
      <w:r>
        <w:rPr>
          <w:rFonts w:ascii="Malgun Gothic" w:hAnsi="Malgun Gothic"/>
          <w:b/>
          <w:color w:val="1E1E1E"/>
          <w:sz w:val="19"/>
        </w:rPr>
        <w:t>Step 1 - Notarization</w:t>
      </w:r>
      <w:r>
        <w:rPr>
          <w:rFonts w:ascii="Malgun Gothic" w:hAnsi="Malgun Gothic"/>
          <w:color w:val="1E1E1E"/>
          <w:sz w:val="19"/>
        </w:rPr>
        <w:t>: Execution and verification before a licensed Notary Public in Bangladesh.</w:t>
      </w:r>
    </w:p>
    <w:p>
      <w:pPr>
        <w:pStyle w:val="ListNumber"/>
        <w:spacing w:after="40" w:line="276" w:lineRule="auto"/>
      </w:pPr>
      <w:r>
        <w:rPr>
          <w:rFonts w:ascii="Malgun Gothic" w:hAnsi="Malgun Gothic"/>
          <w:b/>
          <w:color w:val="1E1E1E"/>
          <w:sz w:val="19"/>
        </w:rPr>
        <w:t>Step 2 - MOFA Bangladesh Consular Attestation</w:t>
      </w:r>
      <w:r>
        <w:rPr>
          <w:rFonts w:ascii="Malgun Gothic" w:hAnsi="Malgun Gothic"/>
          <w:color w:val="1E1E1E"/>
          <w:sz w:val="19"/>
        </w:rPr>
        <w:t>: Submission to MOFA Dhaka for official departmental authentication and signature verification of the Notary Public.</w:t>
      </w:r>
    </w:p>
    <w:p>
      <w:pPr>
        <w:pStyle w:val="ListNumber"/>
        <w:spacing w:after="40" w:line="276" w:lineRule="auto"/>
      </w:pPr>
      <w:r>
        <w:rPr>
          <w:rFonts w:ascii="Malgun Gothic" w:hAnsi="Malgun Gothic"/>
          <w:b/>
          <w:color w:val="1E1E1E"/>
          <w:sz w:val="19"/>
        </w:rPr>
        <w:t>Step 3 - Korean Embassy Consular Legalization</w:t>
      </w:r>
      <w:r>
        <w:rPr>
          <w:rFonts w:ascii="Malgun Gothic" w:hAnsi="Malgun Gothic"/>
          <w:color w:val="1E1E1E"/>
          <w:sz w:val="19"/>
        </w:rPr>
        <w:t>:</w:t>
      </w:r>
    </w:p>
    <w:p>
      <w:pPr>
        <w:spacing w:after="50" w:line="276" w:lineRule="auto"/>
      </w:pPr>
      <w:r>
        <w:rPr>
          <w:rFonts w:ascii="Malgun Gothic" w:hAnsi="Malgun Gothic"/>
          <w:color w:val="1E1E1E"/>
          <w:sz w:val="19"/>
        </w:rPr>
        <w:t xml:space="preserve">   - Submit the MOFA-attested document to the Consular Section of the </w:t>
      </w:r>
      <w:r>
        <w:rPr>
          <w:rFonts w:ascii="Malgun Gothic" w:hAnsi="Malgun Gothic"/>
          <w:b/>
          <w:color w:val="1E1E1E"/>
          <w:sz w:val="19"/>
        </w:rPr>
        <w:t>Embassy of the Republic of Korea in Bangladesh</w:t>
      </w:r>
      <w:r>
        <w:rPr>
          <w:rFonts w:ascii="Malgun Gothic" w:hAnsi="Malgun Gothic"/>
          <w:color w:val="1E1E1E"/>
          <w:sz w:val="19"/>
        </w:rPr>
        <w:t xml:space="preserve"> (Address: Madani Avenue, Baridhara, Dhaka-1212; Tel: +880-2-5881-2088).</w:t>
      </w:r>
    </w:p>
    <w:p>
      <w:pPr>
        <w:spacing w:after="50" w:line="276" w:lineRule="auto"/>
      </w:pPr>
      <w:r>
        <w:rPr>
          <w:rFonts w:ascii="Malgun Gothic" w:hAnsi="Malgun Gothic"/>
          <w:color w:val="1E1E1E"/>
          <w:sz w:val="19"/>
        </w:rPr>
        <w:t xml:space="preserve">   - The Korean Consul examines the document and affixes the official Consular Legalization Stamp (영사확인 직인) pursuant to Article 30 of the Republic of Korea Notarial Act for Overseas Missions.</w:t>
      </w:r>
    </w:p>
    <w:p>
      <w:pPr>
        <w:pStyle w:val="ListNumber"/>
        <w:spacing w:after="40" w:line="276" w:lineRule="auto"/>
      </w:pPr>
      <w:r>
        <w:rPr>
          <w:rFonts w:ascii="Malgun Gothic" w:hAnsi="Malgun Gothic"/>
          <w:b/>
          <w:color w:val="1E1E1E"/>
          <w:sz w:val="19"/>
        </w:rPr>
        <w:t>Step 4 - Dispatch to Korea</w:t>
      </w:r>
      <w:r>
        <w:rPr>
          <w:rFonts w:ascii="Malgun Gothic" w:hAnsi="Malgun Gothic"/>
          <w:color w:val="1E1E1E"/>
          <w:sz w:val="19"/>
        </w:rPr>
        <w:t>: Courier the consularly legalized originals to Korea.</w:t>
      </w:r>
    </w:p>
    <w:p>
      <w:pPr>
        <w:spacing w:before="60" w:after="60"/>
      </w:pPr>
      <w:r>
        <w:rPr>
          <w:color w:val="BEBEBE"/>
        </w:rPr>
        <w:t>―――――――――――――――――――――――――――――――――――――――――――――</w:t>
      </w:r>
    </w:p>
    <w:p>
      <w:pPr>
        <w:spacing w:before="120" w:after="40"/>
      </w:pPr>
      <w:r>
        <w:rPr>
          <w:rFonts w:ascii="Malgun Gothic" w:hAnsi="Malgun Gothic"/>
          <w:b/>
          <w:color w:val="3C3C3C"/>
          <w:sz w:val="20"/>
        </w:rPr>
        <w:t>3.3 South Korea In-Country Translation &amp; Certification Protocol</w:t>
      </w:r>
    </w:p>
    <w:p>
      <w:pPr>
        <w:pStyle w:val="ListNumber"/>
        <w:spacing w:after="40" w:line="276" w:lineRule="auto"/>
      </w:pPr>
      <w:r>
        <w:rPr>
          <w:rFonts w:ascii="Malgun Gothic" w:hAnsi="Malgun Gothic"/>
          <w:b/>
          <w:color w:val="1E1E1E"/>
          <w:sz w:val="19"/>
        </w:rPr>
        <w:t>Statutory Requirement</w:t>
      </w:r>
      <w:r>
        <w:rPr>
          <w:rFonts w:ascii="Malgun Gothic" w:hAnsi="Malgun Gothic"/>
          <w:color w:val="1E1E1E"/>
          <w:sz w:val="19"/>
        </w:rPr>
        <w:t>: Pursuant to the Korean Administrative Scrivener Act (행정사법 제2조, 제20조) and Korean Court Practice Guidelines, all documents written in English or Bengali must be accompanied by an official Korean translation.</w:t>
      </w:r>
    </w:p>
    <w:p>
      <w:pPr>
        <w:pStyle w:val="ListNumber"/>
        <w:spacing w:after="40" w:line="276" w:lineRule="auto"/>
      </w:pPr>
      <w:r>
        <w:rPr>
          <w:rFonts w:ascii="Malgun Gothic" w:hAnsi="Malgun Gothic"/>
          <w:b/>
          <w:color w:val="1E1E1E"/>
          <w:sz w:val="19"/>
        </w:rPr>
        <w:t>Certificate of Translation (외국어번역행정사 번역확인서)</w:t>
      </w:r>
      <w:r>
        <w:rPr>
          <w:rFonts w:ascii="Malgun Gothic" w:hAnsi="Malgun Gothic"/>
          <w:color w:val="1E1E1E"/>
          <w:sz w:val="19"/>
        </w:rPr>
        <w:t>:</w:t>
      </w:r>
    </w:p>
    <w:p>
      <w:pPr>
        <w:spacing w:after="50" w:line="276" w:lineRule="auto"/>
      </w:pPr>
      <w:r>
        <w:rPr>
          <w:rFonts w:ascii="Malgun Gothic" w:hAnsi="Malgun Gothic"/>
          <w:color w:val="1E1E1E"/>
          <w:sz w:val="19"/>
        </w:rPr>
        <w:t xml:space="preserve">   - The Korean translation must be reviewed and certified by an authorized </w:t>
      </w:r>
      <w:r>
        <w:rPr>
          <w:rFonts w:ascii="Malgun Gothic" w:hAnsi="Malgun Gothic"/>
          <w:b/>
          <w:color w:val="1E1E1E"/>
          <w:sz w:val="19"/>
        </w:rPr>
        <w:t>Korean Certified Foreign Language Translation Administrative Scrivener (외국어번역행정사)</w:t>
      </w:r>
      <w:r>
        <w:rPr>
          <w:rFonts w:ascii="Malgun Gothic" w:hAnsi="Malgun Gothic"/>
          <w:color w:val="1E1E1E"/>
          <w:sz w:val="19"/>
        </w:rPr>
        <w:t xml:space="preserve"> or licensed Korean attorney.</w:t>
      </w:r>
    </w:p>
    <w:p>
      <w:pPr>
        <w:spacing w:after="50" w:line="276" w:lineRule="auto"/>
      </w:pPr>
      <w:r>
        <w:rPr>
          <w:rFonts w:ascii="Malgun Gothic" w:hAnsi="Malgun Gothic"/>
          <w:color w:val="1E1E1E"/>
          <w:sz w:val="19"/>
        </w:rPr>
        <w:t xml:space="preserve">   - The Administrative Scrivener affixes the official Certificate of Translation (번역확인서), certifying that the Korean translation is complete and conforms exactly to the original authenticated foreign document.</w:t>
      </w:r>
    </w:p>
    <w:p>
      <w:pPr>
        <w:spacing w:before="60" w:after="60"/>
      </w:pPr>
      <w:r>
        <w:rPr>
          <w:color w:val="BEBEBE"/>
        </w:rPr>
        <w:t>―――――――――――――――――――――――――――――――――――――――――――――</w:t>
      </w:r>
    </w:p>
    <w:p>
      <w:pPr>
        <w:spacing w:before="180" w:after="60"/>
      </w:pPr>
      <w:r>
        <w:rPr>
          <w:rFonts w:ascii="Malgun Gothic" w:hAnsi="Malgun Gothic"/>
          <w:b/>
          <w:color w:val="002060"/>
          <w:sz w:val="23"/>
        </w:rPr>
        <w:t>4. DOCUMENT-BY-DOCUMENT EXECUTION &amp; ATTESTATION MATRIX</w:t>
      </w:r>
    </w:p>
    <w:tbl>
      <w:tblPr>
        <w:tblW w:type="auto" w:w="0"/>
        <w:jc w:val="center"/>
        <w:tblLook w:firstColumn="1" w:firstRow="1" w:lastColumn="0" w:lastRow="0" w:noHBand="0" w:noVBand="1" w:val="04A0"/>
      </w:tblPr>
      <w:tblGrid>
        <w:gridCol w:w="10224"/>
      </w:tblGrid>
      <w:tr>
        <w:tc>
          <w:tcPr>
            <w:tcW w:type="dxa" w:w="10224"/>
            <w:shd w:fill="F4F6F9"/>
            <w:tcMar>
              <w:top w:w="100" w:type="dxa"/>
              <w:bottom w:w="100" w:type="dxa"/>
              <w:left w:w="120" w:type="dxa"/>
              <w:right w:w="120" w:type="dxa"/>
            </w:tcMar>
          </w:tcPr>
          <w:p>
            <w:pPr>
              <w:spacing w:after="0" w:line="252" w:lineRule="auto"/>
            </w:pPr>
            <w:r>
              <w:rPr>
                <w:rFonts w:ascii="Consolas" w:hAnsi="Consolas"/>
                <w:color w:val="1E1E1E"/>
                <w:sz w:val="15"/>
              </w:rPr>
              <w:t>========================================================================================================================</w:t>
              <w:br/>
              <w:t>#   DOCUMENT NAME                 ISSUING AUTHORITY            PRIMARY PURPOSE                 AUTHENTICATION ROUTE</w:t>
              <w:br/>
              <w:t>========================================================================================================================</w:t>
              <w:br/>
              <w:t>1   Legal Heir Certificate        Union Parishad Chairman /    Proves BELAL HOSSAIN &amp;          Notary Public -&gt; MOFA Dhaka</w:t>
              <w:br/>
              <w:t xml:space="preserve">    (Warishan Certificate /       City Corporation Ward        MONOARA BEGUM are 100% sole     -&gt; Embassy of Korea in Dhaka</w:t>
              <w:br/>
              <w:t xml:space="preserve">    Succession Certificate)       Councilor / District Court   legal heirs (2/3 &amp; 1/3 shares)  (or Hague Apostille) + Trans</w:t>
              <w:br/>
              <w:t>------------------------------------------------------------------------------------------------------------------------</w:t>
              <w:br/>
              <w:t>2   Family Relationship           Bangladesh National Birth &amp;  Establishes parent-child        Notary Public -&gt; MOFA Dhaka</w:t>
              <w:br/>
              <w:t xml:space="preserve">    Certificate (FRC)             Death Registrar / NID Auth   lineage between parents &amp;       -&gt; Embassy of Korea in Dhaka</w:t>
              <w:br/>
              <w:t xml:space="preserve">                                                               deceased foreign student        (or Hague Apostille) + Trans</w:t>
              <w:br/>
              <w:t>------------------------------------------------------------------------------------------------------------------------</w:t>
              <w:br/>
              <w:t>3   Bilingual Special Power       Executed by BELAL HOSSAIN    Grants 7 operative mandates     Notary Public -&gt; MOFA Dhaka</w:t>
              <w:br/>
              <w:t xml:space="preserve">    of Attorney (특별위임장)       &amp; MONOARA BEGUM              including Direct SWIFT Wire     -&gt; Embassy of Korea in Dhaka</w:t>
              <w:br/>
              <w:t xml:space="preserve">                                                               Remittance to Bangladesh        (or Hague Apostille) + Trans</w:t>
              <w:br/>
              <w:t>------------------------------------------------------------------------------------------------------------------------</w:t>
              <w:br/>
              <w:t>4   National ID Cards &amp;           Bangladesh Election Comm.    Verifies legal identities,      Notarized True Copy -&gt; MOFA</w:t>
              <w:br/>
              <w:t xml:space="preserve">    Passports of Parents          &amp; Passport Department        birthdates, and signatures      -&gt; Embassy of Korea in Dhaka</w:t>
              <w:br/>
              <w:t>------------------------------------------------------------------------------------------------------------------------</w:t>
              <w:br/>
              <w:t>5   Bangladeshi Bank Account      Authorized Foreign Exchange  Verifies SWIFT wire routing     Official Bank Manager Seal</w:t>
              <w:br/>
              <w:t xml:space="preserve">    Confirmation Letters          Bank in Dhaka/Cumilla        for direct fund disbursement    -&gt; Notary Public -&gt; Trans</w:t>
              <w:br/>
              <w:t>------------------------------------------------------------------------------------------------------------------------</w:t>
              <w:br/>
              <w:t>6   Medical Death Certificate &amp;   GangNeung Asan Hospital /    Proves accidental death event,  Original Korean Medical Seal</w:t>
              <w:br/>
              <w:t xml:space="preserve">    Post-Mortem Exam Certificate  Treating Medical Facility    time, date, and clinical cause  (No foreign legalization needed)</w:t>
              <w:br/>
              <w:t>------------------------------------------------------------------------------------------------------------------------</w:t>
              <w:br/>
              <w:t>7   Traffic Accident Fact         Gangwon Sokcho Police        Proves single-vehicle collision Original Police Seal</w:t>
              <w:br/>
              <w:t xml:space="preserve">    Confirmation (사고사실확인원)  Station (Case: 2026-00020)   and driver/vehicle facts        (No foreign legalization needed)</w:t>
              <w:br/>
              <w:t>------------------------------------------------------------------------------------------------------------------------</w:t>
              <w:br/>
              <w:t>8   University Enrollment &amp;       Seojeong University          Proves active D-2 foreign       Original University Seal</w:t>
              <w:br/>
              <w:t xml:space="preserve">    Academic Registry Records     (서정대학교 국제교류처)       student status at death         (No foreign legalization needed)</w:t>
              <w:br/>
              <w:t>========================================================================================================================</w:t>
            </w:r>
          </w:p>
        </w:tc>
      </w:tr>
    </w:tbl>
    <w:p/>
    <w:p>
      <w:pPr>
        <w:spacing w:before="60" w:after="60"/>
      </w:pPr>
      <w:r>
        <w:rPr>
          <w:color w:val="BEBEBE"/>
        </w:rPr>
        <w:t>―――――――――――――――――――――――――――――――――――――――――――――</w:t>
      </w:r>
    </w:p>
    <w:p>
      <w:pPr>
        <w:spacing w:before="180" w:after="60"/>
      </w:pPr>
      <w:r>
        <w:rPr>
          <w:rFonts w:ascii="Malgun Gothic" w:hAnsi="Malgun Gothic"/>
          <w:b/>
          <w:color w:val="002060"/>
          <w:sz w:val="23"/>
        </w:rPr>
        <w:t>5. KOREAN FOREIGN EXCHANGE TRANSACTIONS ACT (외국환거래법) &amp; REMITTANCE PROCEDURES</w:t>
      </w:r>
    </w:p>
    <w:tbl>
      <w:tblPr>
        <w:tblW w:type="auto" w:w="0"/>
        <w:jc w:val="center"/>
        <w:tblLook w:firstColumn="1" w:firstRow="1" w:lastColumn="0" w:lastRow="0" w:noHBand="0" w:noVBand="1" w:val="04A0"/>
      </w:tblPr>
      <w:tblGrid>
        <w:gridCol w:w="10224"/>
      </w:tblGrid>
      <w:tr>
        <w:tc>
          <w:tcPr>
            <w:tcW w:type="dxa" w:w="10224"/>
            <w:shd w:fill="F4F6F9"/>
            <w:tcMar>
              <w:top w:w="100" w:type="dxa"/>
              <w:bottom w:w="100" w:type="dxa"/>
              <w:left w:w="120" w:type="dxa"/>
              <w:right w:w="120" w:type="dxa"/>
            </w:tcMar>
          </w:tcPr>
          <w:p>
            <w:pPr>
              <w:spacing w:after="0" w:line="252" w:lineRule="auto"/>
            </w:pPr>
            <w:r>
              <w:rPr>
                <w:rFonts w:ascii="Consolas" w:hAnsi="Consolas"/>
                <w:color w:val="1E1E1E"/>
                <w:sz w:val="15"/>
              </w:rPr>
              <w:t>====================================================================================================</w:t>
              <w:br/>
              <w:t>CROSS-BORDER FOREIGN EXCHANGE REMITTANCE PIPELINE</w:t>
              <w:br/>
              <w:t>====================================================================================================</w:t>
              <w:br/>
              <w:t>1. SETTLEMENT OF CLAIM / MEDIATION AWARD</w:t>
              <w:br/>
              <w:t xml:space="preserve">   - DB Insurance / Seojeong Group Insurer issues Payment Approval Notice (보험금 지급결정서).</w:t>
              <w:br/>
              <w:t xml:space="preserve">                                   │</w:t>
              <w:br/>
              <w:t xml:space="preserve">                                   ▼</w:t>
              <w:br/>
              <w:t>2. DESIGNATION OF FOREIGN EXCHANGE BANK (외국환은행 지정)</w:t>
              <w:br/>
              <w:t xml:space="preserve">   - Attorney-in-Fact or Insurer submits application to major Korean FX Bank (Hana / Shinhan / Woori).</w:t>
              <w:br/>
              <w:t xml:space="preserve">   - Category: Non-Resident Insurance / Inheritance Outward Remittance (비거주자 대외지급).</w:t>
              <w:br/>
              <w:t xml:space="preserve">                                   │</w:t>
              <w:br/>
              <w:t xml:space="preserve">                                   ▼</w:t>
              <w:br/>
              <w:t>3. SUBMISSION OF COMPLIANCE DOSSIER TO FX BANK</w:t>
              <w:br/>
              <w:t xml:space="preserve">   - Legalized Bilingual Special Power of Attorney (Track A/B) + Translation Certificate.</w:t>
              <w:br/>
              <w:t xml:space="preserve">   - Legal Heir Certificate (Warishan) &amp; Family Relationship Certificate.</w:t>
              <w:br/>
              <w:t xml:space="preserve">   - Traffic Accident Fact Confirmation &amp; Death Certificate.</w:t>
              <w:br/>
              <w:t xml:space="preserve">   - Korean Tax Clearance / Non-Taxation Verification (상속세 및 증여세법 검토).</w:t>
              <w:br/>
              <w:t xml:space="preserve">   - Verified SWIFT Wire Details for Belal Hossain (2/3) and Monoara Begum (1/3).</w:t>
              <w:br/>
              <w:t xml:space="preserve">                                   │</w:t>
              <w:br/>
              <w:t xml:space="preserve">                                   ▼</w:t>
              <w:br/>
              <w:t>4. INTERNATIONAL SWIFT MT103 TELEGRAPHIC WIRE TRANSFER</w:t>
              <w:br/>
              <w:t xml:space="preserve">   - Bank converts KRW funds to USD/BDT at current Telegraphic Transfer Selling Rate (TTS).</w:t>
              <w:br/>
              <w:t xml:space="preserve">   - 66.667% wired to Belal Hossain account; 33.333% wired to Monoara Begum account.</w:t>
              <w:br/>
              <w:t xml:space="preserve">   - SWIFT MT103 confirmation message generated and transmitted to representative.</w:t>
              <w:br/>
              <w:t>====================================================================================================</w:t>
            </w:r>
          </w:p>
        </w:tc>
      </w:tr>
    </w:tbl>
    <w:p/>
    <w:p>
      <w:pPr>
        <w:spacing w:before="120" w:after="40"/>
      </w:pPr>
      <w:r>
        <w:rPr>
          <w:rFonts w:ascii="Malgun Gothic" w:hAnsi="Malgun Gothic"/>
          <w:b/>
          <w:color w:val="3C3C3C"/>
          <w:sz w:val="20"/>
        </w:rPr>
        <w:t>5.1 Regulatory Classification under Foreign Exchange Regulations</w:t>
      </w:r>
    </w:p>
    <w:p>
      <w:pPr>
        <w:spacing w:after="50" w:line="276" w:lineRule="auto"/>
      </w:pPr>
      <w:r>
        <w:rPr>
          <w:rFonts w:ascii="Malgun Gothic" w:hAnsi="Malgun Gothic"/>
          <w:color w:val="1E1E1E"/>
          <w:sz w:val="19"/>
        </w:rPr>
        <w:t xml:space="preserve">Under the </w:t>
      </w:r>
      <w:r>
        <w:rPr>
          <w:rFonts w:ascii="Malgun Gothic" w:hAnsi="Malgun Gothic"/>
          <w:b/>
          <w:color w:val="1E1E1E"/>
          <w:sz w:val="19"/>
        </w:rPr>
        <w:t>Korean Foreign Exchange Transactions Act (외국환거래법)</w:t>
      </w:r>
      <w:r>
        <w:rPr>
          <w:rFonts w:ascii="Malgun Gothic" w:hAnsi="Malgun Gothic"/>
          <w:color w:val="1E1E1E"/>
          <w:sz w:val="19"/>
        </w:rPr>
        <w:t xml:space="preserve"> and the </w:t>
      </w:r>
      <w:r>
        <w:rPr>
          <w:rFonts w:ascii="Malgun Gothic" w:hAnsi="Malgun Gothic"/>
          <w:b/>
          <w:color w:val="1E1E1E"/>
          <w:sz w:val="19"/>
        </w:rPr>
        <w:t>Foreign Exchange Transactions Regulations (외국환거래규정 제4장 지급 및 수령)</w:t>
      </w:r>
      <w:r>
        <w:rPr>
          <w:rFonts w:ascii="Malgun Gothic" w:hAnsi="Malgun Gothic"/>
          <w:color w:val="1E1E1E"/>
          <w:sz w:val="19"/>
        </w:rPr>
        <w:t>:</w:t>
      </w:r>
    </w:p>
    <w:p>
      <w:pPr>
        <w:pStyle w:val="ListNumber"/>
        <w:spacing w:after="40" w:line="276" w:lineRule="auto"/>
      </w:pPr>
      <w:r>
        <w:rPr>
          <w:rFonts w:ascii="Malgun Gothic" w:hAnsi="Malgun Gothic"/>
          <w:b/>
          <w:color w:val="1E1E1E"/>
          <w:sz w:val="19"/>
        </w:rPr>
        <w:t>Nature of Payment</w:t>
      </w:r>
      <w:r>
        <w:rPr>
          <w:rFonts w:ascii="Malgun Gothic" w:hAnsi="Malgun Gothic"/>
          <w:color w:val="1E1E1E"/>
          <w:sz w:val="19"/>
        </w:rPr>
        <w:t>: Outward remittance of inheritance assets and insurance benefit claims to non-resident foreign nationals (*비거주자의 국내 재산 및 보험금 대외지급*).</w:t>
      </w:r>
    </w:p>
    <w:p>
      <w:pPr>
        <w:pStyle w:val="ListNumber"/>
        <w:spacing w:after="40" w:line="276" w:lineRule="auto"/>
      </w:pPr>
      <w:r>
        <w:rPr>
          <w:rFonts w:ascii="Malgun Gothic" w:hAnsi="Malgun Gothic"/>
          <w:b/>
          <w:color w:val="1E1E1E"/>
          <w:sz w:val="19"/>
        </w:rPr>
        <w:t>Exemption from Ministry / BOK Approval</w:t>
      </w:r>
      <w:r>
        <w:rPr>
          <w:rFonts w:ascii="Malgun Gothic" w:hAnsi="Malgun Gothic"/>
          <w:color w:val="1E1E1E"/>
          <w:sz w:val="19"/>
        </w:rPr>
        <w:t xml:space="preserve">: When supported by an authenticated Legal Heir Certificate, Death Certificate, Insurance Settlement Agreement/Judicial Mediation Protocol, and Legalized Special Power of Attorney, cross-border remittance of insurance proceeds requires only </w:t>
      </w:r>
      <w:r>
        <w:rPr>
          <w:rFonts w:ascii="Malgun Gothic" w:hAnsi="Malgun Gothic"/>
          <w:b/>
          <w:color w:val="1E1E1E"/>
          <w:sz w:val="19"/>
        </w:rPr>
        <w:t>Foreign Exchange Bank Designation &amp; Verification (외국환은행의 확인)</w:t>
      </w:r>
      <w:r>
        <w:rPr>
          <w:rFonts w:ascii="Malgun Gothic" w:hAnsi="Malgun Gothic"/>
          <w:color w:val="1E1E1E"/>
          <w:sz w:val="19"/>
        </w:rPr>
        <w:t xml:space="preserve"> and does </w:t>
      </w:r>
      <w:r>
        <w:rPr>
          <w:rFonts w:ascii="Malgun Gothic" w:hAnsi="Malgun Gothic"/>
          <w:b/>
          <w:color w:val="1E1E1E"/>
          <w:sz w:val="19"/>
        </w:rPr>
        <w:t>NOT</w:t>
      </w:r>
      <w:r>
        <w:rPr>
          <w:rFonts w:ascii="Malgun Gothic" w:hAnsi="Malgun Gothic"/>
          <w:color w:val="1E1E1E"/>
          <w:sz w:val="19"/>
        </w:rPr>
        <w:t xml:space="preserve"> require prior approval from the Bank of Korea or Ministry of Economy and Finance.</w:t>
      </w:r>
    </w:p>
    <w:p>
      <w:pPr>
        <w:spacing w:before="60" w:after="60"/>
      </w:pPr>
      <w:r>
        <w:rPr>
          <w:color w:val="BEBEBE"/>
        </w:rPr>
        <w:t>―――――――――――――――――――――――――――――――――――――――――――――</w:t>
      </w:r>
    </w:p>
    <w:p>
      <w:pPr>
        <w:spacing w:before="120" w:after="40"/>
      </w:pPr>
      <w:r>
        <w:rPr>
          <w:rFonts w:ascii="Malgun Gothic" w:hAnsi="Malgun Gothic"/>
          <w:b/>
          <w:color w:val="3C3C3C"/>
          <w:sz w:val="20"/>
        </w:rPr>
        <w:t>5.2 Korean Tax Compliance: Inheritance &amp; Gift Tax Act (상속세 및 증여세법)</w:t>
      </w:r>
    </w:p>
    <w:p>
      <w:pPr>
        <w:pStyle w:val="ListNumber"/>
        <w:spacing w:after="40" w:line="276" w:lineRule="auto"/>
      </w:pPr>
      <w:r>
        <w:rPr>
          <w:rFonts w:ascii="Malgun Gothic" w:hAnsi="Malgun Gothic"/>
          <w:b/>
          <w:color w:val="1E1E1E"/>
          <w:sz w:val="19"/>
        </w:rPr>
        <w:t>Legal Characterization</w:t>
      </w:r>
      <w:r>
        <w:rPr>
          <w:rFonts w:ascii="Malgun Gothic" w:hAnsi="Malgun Gothic"/>
          <w:color w:val="1E1E1E"/>
          <w:sz w:val="19"/>
        </w:rPr>
        <w:t xml:space="preserve">: Under Korean Supreme Court precedents (2003Da29463), first-party accidental death benefits (자손/자상) payable to statutory heirs are the </w:t>
      </w:r>
      <w:r>
        <w:rPr>
          <w:rFonts w:ascii="Malgun Gothic" w:hAnsi="Malgun Gothic"/>
          <w:b/>
          <w:color w:val="1E1E1E"/>
          <w:sz w:val="19"/>
        </w:rPr>
        <w:t>inherent property of the heirs (상속인의 고유재산)</w:t>
      </w:r>
      <w:r>
        <w:rPr>
          <w:rFonts w:ascii="Malgun Gothic" w:hAnsi="Malgun Gothic"/>
          <w:color w:val="1E1E1E"/>
          <w:sz w:val="19"/>
        </w:rPr>
        <w:t>.</w:t>
      </w:r>
    </w:p>
    <w:p>
      <w:pPr>
        <w:pStyle w:val="ListNumber"/>
        <w:spacing w:after="40" w:line="276" w:lineRule="auto"/>
      </w:pPr>
      <w:r>
        <w:rPr>
          <w:rFonts w:ascii="Malgun Gothic" w:hAnsi="Malgun Gothic"/>
          <w:b/>
          <w:color w:val="1E1E1E"/>
          <w:sz w:val="19"/>
        </w:rPr>
        <w:t>Non-Resident Tax Thresholds</w:t>
      </w:r>
      <w:r>
        <w:rPr>
          <w:rFonts w:ascii="Malgun Gothic" w:hAnsi="Malgun Gothic"/>
          <w:color w:val="1E1E1E"/>
          <w:sz w:val="19"/>
        </w:rPr>
        <w:t xml:space="preserve">: Under the Inheritance and Gift Tax Act, basic estate deductions (기초공제 KRW 200,000,000) apply. Because the aggregate insurance proceeds recovered from DB Insurance and Seojeong University (KRW 110,000,000 ~ 150,000,000) fall well below the KRW 200M statutory threshold, </w:t>
      </w:r>
      <w:r>
        <w:rPr>
          <w:rFonts w:ascii="Malgun Gothic" w:hAnsi="Malgun Gothic"/>
          <w:b/>
          <w:color w:val="1E1E1E"/>
          <w:sz w:val="19"/>
        </w:rPr>
        <w:t>no Korean inheritance tax liability is incurred</w:t>
      </w:r>
      <w:r>
        <w:rPr>
          <w:rFonts w:ascii="Malgun Gothic" w:hAnsi="Malgun Gothic"/>
          <w:color w:val="1E1E1E"/>
          <w:sz w:val="19"/>
        </w:rPr>
        <w:t>.</w:t>
      </w:r>
    </w:p>
    <w:p>
      <w:pPr>
        <w:pStyle w:val="ListNumber"/>
        <w:spacing w:after="40" w:line="276" w:lineRule="auto"/>
      </w:pPr>
      <w:r>
        <w:rPr>
          <w:rFonts w:ascii="Malgun Gothic" w:hAnsi="Malgun Gothic"/>
          <w:b/>
          <w:color w:val="1E1E1E"/>
          <w:sz w:val="19"/>
        </w:rPr>
        <w:t>Tax Clearance Certificate</w:t>
      </w:r>
      <w:r>
        <w:rPr>
          <w:rFonts w:ascii="Malgun Gothic" w:hAnsi="Malgun Gothic"/>
          <w:color w:val="1E1E1E"/>
          <w:sz w:val="19"/>
        </w:rPr>
        <w:t>: The foreign exchange bank issues an immediate non-taxable outward remittance approval (*비과세 대외지급 확인서*).</w:t>
      </w:r>
    </w:p>
    <w:p>
      <w:pPr>
        <w:spacing w:before="60" w:after="60"/>
      </w:pPr>
      <w:r>
        <w:rPr>
          <w:color w:val="BEBEBE"/>
        </w:rPr>
        <w:t>―――――――――――――――――――――――――――――――――――――――――――――</w:t>
      </w:r>
    </w:p>
    <w:p>
      <w:pPr>
        <w:spacing w:before="120" w:after="40"/>
      </w:pPr>
      <w:r>
        <w:rPr>
          <w:rFonts w:ascii="Malgun Gothic" w:hAnsi="Malgun Gothic"/>
          <w:b/>
          <w:color w:val="3C3C3C"/>
          <w:sz w:val="20"/>
        </w:rPr>
        <w:t>5.3 Technical SWIFT MT103 Remittance Specifications</w:t>
      </w:r>
    </w:p>
    <w:tbl>
      <w:tblPr>
        <w:tblW w:type="auto" w:w="0"/>
        <w:jc w:val="center"/>
        <w:tblLook w:firstColumn="1" w:firstRow="1" w:lastColumn="0" w:lastRow="0" w:noHBand="0" w:noVBand="1" w:val="04A0"/>
      </w:tblPr>
      <w:tblGrid>
        <w:gridCol w:w="10224"/>
      </w:tblGrid>
      <w:tr>
        <w:tc>
          <w:tcPr>
            <w:tcW w:type="dxa" w:w="10224"/>
            <w:shd w:fill="F4F6F9"/>
            <w:tcMar>
              <w:top w:w="100" w:type="dxa"/>
              <w:bottom w:w="100" w:type="dxa"/>
              <w:left w:w="120" w:type="dxa"/>
              <w:right w:w="120" w:type="dxa"/>
            </w:tcMar>
          </w:tcPr>
          <w:p>
            <w:pPr>
              <w:spacing w:after="0" w:line="252" w:lineRule="auto"/>
            </w:pPr>
            <w:r>
              <w:rPr>
                <w:rFonts w:ascii="Consolas" w:hAnsi="Consolas"/>
                <w:color w:val="1E1E1E"/>
                <w:sz w:val="15"/>
              </w:rPr>
              <w:t>====================================================================================================</w:t>
              <w:br/>
              <w:t>SWIFT MT103 FIELD SPECIFICATION          FATHER (BELAL HOSSAIN - 2/3)     MOTHER (MONOARA BEGUM - 1/3)</w:t>
              <w:br/>
              <w:t>====================================================================================================</w:t>
              <w:br/>
              <w:t>Field 20: Transaction Ref Number         [Unique Bank Remittance Ref]     [Unique Bank Remittance Ref]</w:t>
              <w:br/>
              <w:t>Field 23B: Bank Operation Code           CRED                             CRED</w:t>
              <w:br/>
              <w:t>Field 32A: Value Date / Currency / Amt   USD [66.667% Net Conversion]    USD [33.333% Net Conversion]</w:t>
              <w:br/>
              <w:t>Field 50K: Ordering Customer             [DB Insurance / Escrow Account]  [DB Insurance / Escrow Account]</w:t>
              <w:br/>
              <w:t>Field 59: Beneficiary Customer           /Account No. [Father BD Acct]    /Account No. [Mother BD Acct]</w:t>
              <w:br/>
              <w:t xml:space="preserve">                                         BELAL HOSSAIN                    MONOARA BEGUM</w:t>
              <w:br/>
              <w:t xml:space="preserve">                                         Munshi Bari, Keshobpur,          Munshi Bari, Keshobpur,</w:t>
              <w:br/>
              <w:t xml:space="preserve">                                         Monoharganj - 3571, Cumilla, BD  Monoharganj - 3571, Cumilla, BD</w:t>
              <w:br/>
              <w:t>Field 57A: Beneficiary Institution       MTBLBDDH                      MTBLBDDH</w:t>
              <w:br/>
              <w:t xml:space="preserve">                                         (Mutual Trust Bank PLC)     (Mutual Trust Bank PLC)</w:t>
              <w:br/>
              <w:t>Field 70: Remittance Information         "Inheritance Insurance Recovery  "Inheritance Insurance Recovery</w:t>
              <w:br/>
              <w:t xml:space="preserve">                                         Deceased: Mahadi Monoar Hossain" Deceased: Mahadi Monoar Hossain"</w:t>
              <w:br/>
              <w:t>Field 71A: Details of Charges            OUR (All transfer fees paid)     OUR (All transfer fees paid)</w:t>
              <w:br/>
              <w:t>====================================================================================================</w:t>
            </w:r>
          </w:p>
        </w:tc>
      </w:tr>
    </w:tbl>
    <w:p/>
    <w:p>
      <w:pPr>
        <w:spacing w:before="60" w:after="60"/>
      </w:pPr>
      <w:r>
        <w:rPr>
          <w:color w:val="BEBEBE"/>
        </w:rPr>
        <w:t>―――――――――――――――――――――――――――――――――――――――――――――</w:t>
      </w:r>
    </w:p>
    <w:p>
      <w:pPr>
        <w:spacing w:before="180" w:after="60"/>
      </w:pPr>
      <w:r>
        <w:rPr>
          <w:rFonts w:ascii="Malgun Gothic" w:hAnsi="Malgun Gothic"/>
          <w:b/>
          <w:color w:val="002060"/>
          <w:sz w:val="23"/>
        </w:rPr>
        <w:t>6. SEOJEONG UNIVERSITY (서정대학교) D-2 GROUP ACCIDENT CLAIM ARCHITECTURE</w:t>
      </w:r>
    </w:p>
    <w:p>
      <w:pPr>
        <w:spacing w:before="120" w:after="40"/>
      </w:pPr>
      <w:r>
        <w:rPr>
          <w:rFonts w:ascii="Malgun Gothic" w:hAnsi="Malgun Gothic"/>
          <w:b/>
          <w:color w:val="3C3C3C"/>
          <w:sz w:val="20"/>
        </w:rPr>
        <w:t>6.1 Regulatory Mandate of Ministry of Education Foreign Student Group Insurance</w:t>
      </w:r>
    </w:p>
    <w:p>
      <w:pPr>
        <w:spacing w:after="50" w:line="276" w:lineRule="auto"/>
      </w:pPr>
      <w:r>
        <w:rPr>
          <w:rFonts w:ascii="Malgun Gothic" w:hAnsi="Malgun Gothic"/>
          <w:color w:val="1E1E1E"/>
          <w:sz w:val="19"/>
        </w:rPr>
        <w:t>Pursuant to the Ministry of Education Regulations on the Attraction and Management of International Students (외국인 유학생 유치·관리 역량 인증제 평가기준) and Ministry of Justice guidelines:</w:t>
      </w:r>
    </w:p>
    <w:p>
      <w:pPr>
        <w:pStyle w:val="ListNumber"/>
        <w:spacing w:after="40" w:line="276" w:lineRule="auto"/>
      </w:pPr>
      <w:r>
        <w:rPr>
          <w:rFonts w:ascii="Malgun Gothic" w:hAnsi="Malgun Gothic"/>
          <w:color w:val="1E1E1E"/>
          <w:sz w:val="19"/>
        </w:rPr>
        <w:t>Every higher educational institution in the Republic of Korea hosting foreign students on D-2 (degree) visas is legally mandated to maintain comprehensive group accident insurance coverage for 100% of enrolled international students.</w:t>
      </w:r>
    </w:p>
    <w:p>
      <w:pPr>
        <w:pStyle w:val="ListNumber"/>
        <w:spacing w:after="40" w:line="276" w:lineRule="auto"/>
      </w:pPr>
      <w:r>
        <w:rPr>
          <w:rFonts w:ascii="Malgun Gothic" w:hAnsi="Malgun Gothic"/>
          <w:color w:val="1E1E1E"/>
          <w:sz w:val="19"/>
        </w:rPr>
        <w:t xml:space="preserve">Seojeong University (서정대학교), located in Yangju-si, Gyeonggi-do, maintains an annual Master Group Accident Insurance Contract for its international student body through its </w:t>
      </w:r>
      <w:r>
        <w:rPr>
          <w:rFonts w:ascii="Malgun Gothic" w:hAnsi="Malgun Gothic"/>
          <w:b/>
          <w:color w:val="1E1E1E"/>
          <w:sz w:val="19"/>
        </w:rPr>
        <w:t>Office of International Affairs (국제교류처)</w:t>
      </w:r>
      <w:r>
        <w:rPr>
          <w:rFonts w:ascii="Malgun Gothic" w:hAnsi="Malgun Gothic"/>
          <w:color w:val="1E1E1E"/>
          <w:sz w:val="19"/>
        </w:rPr>
        <w:t>.</w:t>
      </w:r>
    </w:p>
    <w:p>
      <w:pPr>
        <w:spacing w:before="60" w:after="60"/>
      </w:pPr>
      <w:r>
        <w:rPr>
          <w:color w:val="BEBEBE"/>
        </w:rPr>
        <w:t>―――――――――――――――――――――――――――――――――――――――――――――</w:t>
      </w:r>
    </w:p>
    <w:p>
      <w:pPr>
        <w:spacing w:before="120" w:after="40"/>
      </w:pPr>
      <w:r>
        <w:rPr>
          <w:rFonts w:ascii="Malgun Gothic" w:hAnsi="Malgun Gothic"/>
          <w:b/>
          <w:color w:val="3C3C3C"/>
          <w:sz w:val="20"/>
        </w:rPr>
        <w:t>6.2 Group Coverage Heads &amp; Independent Recovery Principles</w:t>
      </w:r>
    </w:p>
    <w:tbl>
      <w:tblPr>
        <w:tblW w:type="auto" w:w="0"/>
        <w:jc w:val="center"/>
        <w:tblLook w:firstColumn="1" w:firstRow="1" w:lastColumn="0" w:lastRow="0" w:noHBand="0" w:noVBand="1" w:val="04A0"/>
      </w:tblPr>
      <w:tblGrid>
        <w:gridCol w:w="10224"/>
      </w:tblGrid>
      <w:tr>
        <w:tc>
          <w:tcPr>
            <w:tcW w:type="dxa" w:w="10224"/>
            <w:shd w:fill="F4F6F9"/>
            <w:tcMar>
              <w:top w:w="100" w:type="dxa"/>
              <w:bottom w:w="100" w:type="dxa"/>
              <w:left w:w="120" w:type="dxa"/>
              <w:right w:w="120" w:type="dxa"/>
            </w:tcMar>
          </w:tcPr>
          <w:p>
            <w:pPr>
              <w:spacing w:after="0" w:line="252" w:lineRule="auto"/>
            </w:pPr>
            <w:r>
              <w:rPr>
                <w:rFonts w:ascii="Consolas" w:hAnsi="Consolas"/>
                <w:color w:val="1E1E1E"/>
                <w:sz w:val="15"/>
              </w:rPr>
              <w:t>====================================================================================================</w:t>
              <w:br/>
              <w:t>COVERAGE HEAD                    BENEFIT DESCRIPTION                         STATUTORY LIMIT</w:t>
              <w:br/>
              <w:t>====================================================================================================</w:t>
              <w:br/>
              <w:t>1. Accidental Death Benefit      Lump-sum death benefit for death resulting  KRW 10,000,000 to</w:t>
              <w:br/>
              <w:t xml:space="preserve">   (상해사망보험금)               from sudden, external traffic accident      KRW 50,000,000</w:t>
              <w:br/>
              <w:t>----------------------------------------------------------------------------------------------------</w:t>
              <w:br/>
              <w:t>2. Repatriation / Funeral        Actual cost reimbursement for embalming,    KRW 5,000,000 to</w:t>
              <w:br/>
              <w:t xml:space="preserve">   Special Expenses              casketing, air transport to Dhaka (AWB),    KRW 20,000,000</w:t>
              <w:br/>
              <w:t xml:space="preserve">   (유골/사체송환비 및 특별비용)    mortuary storage, and family travel</w:t>
              <w:br/>
              <w:t>----------------------------------------------------------------------------------------------------</w:t>
              <w:br/>
              <w:t>3. Emergency Medical Expense     Reimbursement for emergency hospital/ICU    KRW 10,000,000 to</w:t>
              <w:br/>
              <w:t xml:space="preserve">   (상해의료비)                  treatment incurred prior to death           KRW 30,000,000</w:t>
              <w:br/>
              <w:t>====================================================================================================</w:t>
            </w:r>
          </w:p>
        </w:tc>
      </w:tr>
    </w:tbl>
    <w:p/>
    <w:p>
      <w:pPr>
        <w:spacing w:before="80" w:after="30"/>
      </w:pPr>
      <w:r>
        <w:rPr>
          <w:rFonts w:ascii="Malgun Gothic" w:hAnsi="Malgun Gothic"/>
          <w:b/>
          <w:color w:val="3C3C3C"/>
          <w:sz w:val="19"/>
        </w:rPr>
        <w:t>Key Legal Principles:</w:t>
      </w:r>
    </w:p>
    <w:p>
      <w:pPr>
        <w:pStyle w:val="ListNumber"/>
        <w:spacing w:after="40" w:line="276" w:lineRule="auto"/>
      </w:pPr>
      <w:r>
        <w:rPr>
          <w:rFonts w:ascii="Malgun Gothic" w:hAnsi="Malgun Gothic"/>
          <w:b/>
          <w:color w:val="1E1E1E"/>
          <w:sz w:val="19"/>
        </w:rPr>
        <w:t>Non-Offsetting Concurrent Recovery (중복보상 원칙)</w:t>
      </w:r>
      <w:r>
        <w:rPr>
          <w:rFonts w:ascii="Malgun Gothic" w:hAnsi="Malgun Gothic"/>
          <w:color w:val="1E1E1E"/>
          <w:sz w:val="19"/>
        </w:rPr>
        <w:t>:</w:t>
      </w:r>
    </w:p>
    <w:p>
      <w:pPr>
        <w:spacing w:after="50" w:line="276" w:lineRule="auto"/>
      </w:pPr>
      <w:r>
        <w:rPr>
          <w:rFonts w:ascii="Malgun Gothic" w:hAnsi="Malgun Gothic"/>
          <w:color w:val="1E1E1E"/>
          <w:sz w:val="19"/>
        </w:rPr>
        <w:t xml:space="preserve">   - Accidental death benefits under personal accident and group policies are </w:t>
      </w:r>
      <w:r>
        <w:rPr>
          <w:rFonts w:ascii="Malgun Gothic" w:hAnsi="Malgun Gothic"/>
          <w:b/>
          <w:color w:val="1E1E1E"/>
          <w:sz w:val="19"/>
        </w:rPr>
        <w:t>fixed-sum benefits (정액보험금)</w:t>
      </w:r>
      <w:r>
        <w:rPr>
          <w:rFonts w:ascii="Malgun Gothic" w:hAnsi="Malgun Gothic"/>
          <w:color w:val="1E1E1E"/>
          <w:sz w:val="19"/>
        </w:rPr>
        <w:t>.</w:t>
      </w:r>
    </w:p>
    <w:p>
      <w:pPr>
        <w:spacing w:after="50" w:line="276" w:lineRule="auto"/>
      </w:pPr>
      <w:r>
        <w:rPr>
          <w:rFonts w:ascii="Malgun Gothic" w:hAnsi="Malgun Gothic"/>
          <w:color w:val="1E1E1E"/>
          <w:sz w:val="19"/>
        </w:rPr>
        <w:t xml:space="preserve">   - Payout from the Seojeong University group policy does </w:t>
      </w:r>
      <w:r>
        <w:rPr>
          <w:rFonts w:ascii="Malgun Gothic" w:hAnsi="Malgun Gothic"/>
          <w:b/>
          <w:color w:val="1E1E1E"/>
          <w:sz w:val="19"/>
        </w:rPr>
        <w:t>NOT</w:t>
      </w:r>
      <w:r>
        <w:rPr>
          <w:rFonts w:ascii="Malgun Gothic" w:hAnsi="Malgun Gothic"/>
          <w:color w:val="1E1E1E"/>
          <w:sz w:val="19"/>
        </w:rPr>
        <w:t xml:space="preserve"> reduce or offset the accidental death payout from DB Insurance Co., Ltd. Both claims are fully and independently payable.</w:t>
      </w:r>
    </w:p>
    <w:p>
      <w:pPr>
        <w:pStyle w:val="ListNumber"/>
        <w:spacing w:after="40" w:line="276" w:lineRule="auto"/>
      </w:pPr>
      <w:r>
        <w:rPr>
          <w:rFonts w:ascii="Malgun Gothic" w:hAnsi="Malgun Gothic"/>
          <w:b/>
          <w:color w:val="1E1E1E"/>
          <w:sz w:val="19"/>
        </w:rPr>
        <w:t>Unlicensed Driving Defense Barred</w:t>
      </w:r>
      <w:r>
        <w:rPr>
          <w:rFonts w:ascii="Malgun Gothic" w:hAnsi="Malgun Gothic"/>
          <w:color w:val="1E1E1E"/>
          <w:sz w:val="19"/>
        </w:rPr>
        <w:t>:</w:t>
      </w:r>
    </w:p>
    <w:p>
      <w:pPr>
        <w:spacing w:after="50" w:line="276" w:lineRule="auto"/>
      </w:pPr>
      <w:r>
        <w:rPr>
          <w:rFonts w:ascii="Malgun Gothic" w:hAnsi="Malgun Gothic"/>
          <w:color w:val="1E1E1E"/>
          <w:sz w:val="19"/>
        </w:rPr>
        <w:t xml:space="preserve">   - The university group policy is a </w:t>
      </w:r>
      <w:r>
        <w:rPr>
          <w:rFonts w:ascii="Malgun Gothic" w:hAnsi="Malgun Gothic"/>
          <w:b/>
          <w:color w:val="1E1E1E"/>
          <w:sz w:val="19"/>
        </w:rPr>
        <w:t>personal accident insurance contract (인보험/상해보험)</w:t>
      </w:r>
      <w:r>
        <w:rPr>
          <w:rFonts w:ascii="Malgun Gothic" w:hAnsi="Malgun Gothic"/>
          <w:color w:val="1E1E1E"/>
          <w:sz w:val="19"/>
        </w:rPr>
        <w:t xml:space="preserve"> governed by Commercial Code Art. 732-2 and Art. 739.</w:t>
      </w:r>
    </w:p>
    <w:p>
      <w:pPr>
        <w:spacing w:after="50" w:line="276" w:lineRule="auto"/>
      </w:pPr>
      <w:r>
        <w:rPr>
          <w:rFonts w:ascii="Malgun Gothic" w:hAnsi="Malgun Gothic"/>
          <w:color w:val="1E1E1E"/>
          <w:sz w:val="19"/>
        </w:rPr>
        <w:t xml:space="preserve">   - Pursuant to Supreme Court Decision 98Da48963, the group insurer cannot invoke an unlicensed driving exemption clause to deny accidental death coverage.</w:t>
      </w:r>
    </w:p>
    <w:p>
      <w:pPr>
        <w:spacing w:before="60" w:after="60"/>
      </w:pPr>
      <w:r>
        <w:rPr>
          <w:color w:val="BEBEBE"/>
        </w:rPr>
        <w:t>―――――――――――――――――――――――――――――――――――――――――――――</w:t>
      </w:r>
    </w:p>
    <w:p>
      <w:pPr>
        <w:spacing w:before="180" w:after="60"/>
      </w:pPr>
      <w:r>
        <w:rPr>
          <w:rFonts w:ascii="Malgun Gothic" w:hAnsi="Malgun Gothic"/>
          <w:b/>
          <w:color w:val="002060"/>
          <w:sz w:val="23"/>
        </w:rPr>
        <w:t>7. FIDUCIARY SAFEGUARDS, ANTI-FRAUD PROTOCOLS &amp; FUND PROTECTION</w:t>
      </w:r>
    </w:p>
    <w:tbl>
      <w:tblPr>
        <w:tblW w:type="auto" w:w="0"/>
        <w:jc w:val="center"/>
        <w:tblLook w:firstColumn="1" w:firstRow="1" w:lastColumn="0" w:lastRow="0" w:noHBand="0" w:noVBand="1" w:val="04A0"/>
      </w:tblPr>
      <w:tblGrid>
        <w:gridCol w:w="10224"/>
      </w:tblGrid>
      <w:tr>
        <w:tc>
          <w:tcPr>
            <w:tcW w:type="dxa" w:w="10224"/>
            <w:shd w:fill="F4F6F9"/>
            <w:tcMar>
              <w:top w:w="100" w:type="dxa"/>
              <w:bottom w:w="100" w:type="dxa"/>
              <w:left w:w="120" w:type="dxa"/>
              <w:right w:w="120" w:type="dxa"/>
            </w:tcMar>
          </w:tcPr>
          <w:p>
            <w:pPr>
              <w:spacing w:after="0" w:line="252" w:lineRule="auto"/>
            </w:pPr>
            <w:r>
              <w:rPr>
                <w:rFonts w:ascii="Consolas" w:hAnsi="Consolas"/>
                <w:color w:val="1E1E1E"/>
                <w:sz w:val="15"/>
              </w:rPr>
              <w:t>====================================================================================================</w:t>
              <w:br/>
              <w:t>ANTI-FRAUD &amp; FIDUCIARY PROTECTION PROTOCOLS</w:t>
              <w:br/>
              <w:t>====================================================================================================</w:t>
              <w:br/>
              <w:t>1. PROHIBITION OF INTERMEDIARY COMMINGLING (자금혼용 절대금지)</w:t>
              <w:br/>
              <w:t xml:space="preserve">   - Proceeds must never enter unregulated broker, agent, or personal bank accounts.</w:t>
              <w:br/>
              <w:t xml:space="preserve">   - Payout directly from insurer to Bangladeshi bank via SWIFT, or via Segregated Attorney Escrow.</w:t>
              <w:br/>
              <w:t xml:space="preserve">                                   │</w:t>
              <w:br/>
              <w:t xml:space="preserve">                                   ▼</w:t>
              <w:br/>
              <w:t>2. STRICT ANTI-DISCOUNT FIDUCIARY SAFEGUARD (부당감액 금지)</w:t>
              <w:br/>
              <w:t xml:space="preserve">   - Attorney-in-Fact prohibited from accepting settlements discounting &gt;10% of statutory value</w:t>
              <w:br/>
              <w:t xml:space="preserve">     without prior notarized consent from both parents.</w:t>
              <w:br/>
              <w:t xml:space="preserve">                                   │</w:t>
              <w:br/>
              <w:t xml:space="preserve">                                   ▼</w:t>
              <w:br/>
              <w:t>3. BIOMETRIC THUMBPRINT &amp; NID DUAL-VERIFICATION (이중 신원확인)</w:t>
              <w:br/>
              <w:t xml:space="preserve">   - All instruments in Bangladesh executed with original signatures, right thumbprints, and NID copies.</w:t>
              <w:br/>
              <w:t xml:space="preserve">   - Attested by Notary Public and verified by Korean Consular Officer in Dhaka.</w:t>
              <w:br/>
              <w:t xml:space="preserve">                                   │</w:t>
              <w:br/>
              <w:t xml:space="preserve">                                   ▼</w:t>
              <w:br/>
              <w:t>4. FULL SETTLEMENT TRANSPARENCY &amp; AUDITING (투명한 정산보고)</w:t>
              <w:br/>
              <w:t xml:space="preserve">   - Written accounting statement detailing exchange rates (TTS), bank charges, and exact net wire sums</w:t>
              <w:br/>
              <w:t xml:space="preserve">     provided to parents alongside SWIFT MT103 telegraphic confirmation receipt.</w:t>
              <w:br/>
              <w:t>====================================================================================================</w:t>
            </w:r>
          </w:p>
        </w:tc>
      </w:tr>
    </w:tbl>
    <w:p/>
    <w:p>
      <w:pPr>
        <w:spacing w:before="120" w:after="40"/>
      </w:pPr>
      <w:r>
        <w:rPr>
          <w:rFonts w:ascii="Malgun Gothic" w:hAnsi="Malgun Gothic"/>
          <w:b/>
          <w:color w:val="3C3C3C"/>
          <w:sz w:val="20"/>
        </w:rPr>
        <w:t>7.1 Detailed Fiduciary Safeguard Principles</w:t>
      </w:r>
    </w:p>
    <w:p>
      <w:pPr>
        <w:pStyle w:val="ListNumber"/>
        <w:spacing w:after="40" w:line="276" w:lineRule="auto"/>
      </w:pPr>
      <w:r>
        <w:rPr>
          <w:rFonts w:ascii="Malgun Gothic" w:hAnsi="Malgun Gothic"/>
          <w:b/>
          <w:color w:val="1E1E1E"/>
          <w:sz w:val="19"/>
        </w:rPr>
        <w:t>Direct Remittance Mandate (Clause 6 Enforcement)</w:t>
      </w:r>
      <w:r>
        <w:rPr>
          <w:rFonts w:ascii="Malgun Gothic" w:hAnsi="Malgun Gothic"/>
          <w:color w:val="1E1E1E"/>
          <w:sz w:val="19"/>
        </w:rPr>
        <w:t>:</w:t>
      </w:r>
    </w:p>
    <w:p>
      <w:pPr>
        <w:spacing w:after="50" w:line="276" w:lineRule="auto"/>
      </w:pPr>
      <w:r>
        <w:rPr>
          <w:rFonts w:ascii="Malgun Gothic" w:hAnsi="Malgun Gothic"/>
          <w:color w:val="1E1E1E"/>
          <w:sz w:val="19"/>
        </w:rPr>
        <w:t xml:space="preserve">   - Clause 6 of the Special Power of Attorney establishes an immutable legal instruction to DB Insurance and the Seojeong University group insurer to remit funds directly to the respective individual bank accounts of Belal Hossain and Monoara Begum in Bangladesh.</w:t>
      </w:r>
    </w:p>
    <w:p>
      <w:pPr>
        <w:pStyle w:val="ListNumber"/>
        <w:spacing w:after="40" w:line="276" w:lineRule="auto"/>
      </w:pPr>
      <w:r>
        <w:rPr>
          <w:rFonts w:ascii="Malgun Gothic" w:hAnsi="Malgun Gothic"/>
          <w:b/>
          <w:color w:val="1E1E1E"/>
          <w:sz w:val="19"/>
        </w:rPr>
        <w:t>Segregated Attorney Escrow Trust Accounts (변호사 전용 신탁예치계좌)</w:t>
      </w:r>
      <w:r>
        <w:rPr>
          <w:rFonts w:ascii="Malgun Gothic" w:hAnsi="Malgun Gothic"/>
          <w:color w:val="1E1E1E"/>
          <w:sz w:val="19"/>
        </w:rPr>
        <w:t>:</w:t>
      </w:r>
    </w:p>
    <w:p>
      <w:pPr>
        <w:spacing w:after="50" w:line="276" w:lineRule="auto"/>
      </w:pPr>
      <w:r>
        <w:rPr>
          <w:rFonts w:ascii="Malgun Gothic" w:hAnsi="Malgun Gothic"/>
          <w:color w:val="1E1E1E"/>
          <w:sz w:val="19"/>
        </w:rPr>
        <w:t xml:space="preserve">   - If Korean banking procedures necessitate routing through a domestic account, Korean Bar Association regulations mandate that funds be held exclusively in a segregated </w:t>
      </w:r>
      <w:r>
        <w:rPr>
          <w:rFonts w:ascii="Malgun Gothic" w:hAnsi="Malgun Gothic"/>
          <w:b/>
          <w:color w:val="1E1E1E"/>
          <w:sz w:val="19"/>
        </w:rPr>
        <w:t>Client Trust Escrow Account</w:t>
      </w:r>
      <w:r>
        <w:rPr>
          <w:rFonts w:ascii="Malgun Gothic" w:hAnsi="Malgun Gothic"/>
          <w:color w:val="1E1E1E"/>
          <w:sz w:val="19"/>
        </w:rPr>
        <w:t>.</w:t>
      </w:r>
    </w:p>
    <w:p>
      <w:pPr>
        <w:spacing w:after="50" w:line="276" w:lineRule="auto"/>
      </w:pPr>
      <w:r>
        <w:rPr>
          <w:rFonts w:ascii="Malgun Gothic" w:hAnsi="Malgun Gothic"/>
          <w:color w:val="1E1E1E"/>
          <w:sz w:val="19"/>
        </w:rPr>
        <w:t xml:space="preserve">   - The funds must be transferred outward via SWIFT to Bangladesh within </w:t>
      </w:r>
      <w:r>
        <w:rPr>
          <w:rFonts w:ascii="Malgun Gothic" w:hAnsi="Malgun Gothic"/>
          <w:b/>
          <w:color w:val="1E1E1E"/>
          <w:sz w:val="19"/>
        </w:rPr>
        <w:t>three (3) business days</w:t>
      </w:r>
      <w:r>
        <w:rPr>
          <w:rFonts w:ascii="Malgun Gothic" w:hAnsi="Malgun Gothic"/>
          <w:color w:val="1E1E1E"/>
          <w:sz w:val="19"/>
        </w:rPr>
        <w:t xml:space="preserve"> of clearance.</w:t>
      </w:r>
    </w:p>
    <w:p>
      <w:pPr>
        <w:pStyle w:val="ListNumber"/>
        <w:spacing w:after="40" w:line="276" w:lineRule="auto"/>
      </w:pPr>
      <w:r>
        <w:rPr>
          <w:rFonts w:ascii="Malgun Gothic" w:hAnsi="Malgun Gothic"/>
          <w:b/>
          <w:color w:val="1E1E1E"/>
          <w:sz w:val="19"/>
        </w:rPr>
        <w:t>Protection Against Predatory Foreign Claims Brokers</w:t>
      </w:r>
      <w:r>
        <w:rPr>
          <w:rFonts w:ascii="Malgun Gothic" w:hAnsi="Malgun Gothic"/>
          <w:color w:val="1E1E1E"/>
          <w:sz w:val="19"/>
        </w:rPr>
        <w:t>:</w:t>
      </w:r>
    </w:p>
    <w:p>
      <w:pPr>
        <w:spacing w:after="50" w:line="276" w:lineRule="auto"/>
      </w:pPr>
      <w:r>
        <w:rPr>
          <w:rFonts w:ascii="Malgun Gothic" w:hAnsi="Malgun Gothic"/>
          <w:color w:val="1E1E1E"/>
          <w:sz w:val="19"/>
        </w:rPr>
        <w:t xml:space="preserve">   - The inclusion of strict fiduciary protective terms prevents unauthorized intermediaries from asserting exorbitant broker fees, illicit commissions, or coercive settlement waivers.</w:t>
      </w:r>
    </w:p>
    <w:p>
      <w:pPr>
        <w:spacing w:before="60" w:after="60"/>
      </w:pPr>
      <w:r>
        <w:rPr>
          <w:color w:val="BEBEBE"/>
        </w:rPr>
        <w:t>―――――――――――――――――――――――――――――――――――――――――――――</w:t>
      </w:r>
    </w:p>
    <w:p>
      <w:pPr>
        <w:spacing w:before="180" w:after="60"/>
      </w:pPr>
      <w:r>
        <w:rPr>
          <w:rFonts w:ascii="Malgun Gothic" w:hAnsi="Malgun Gothic"/>
          <w:b/>
          <w:color w:val="002060"/>
          <w:sz w:val="23"/>
        </w:rPr>
        <w:t>8. MASTER OPERATIONAL ROADMAP &amp; EXECUTION TIMELINE</w:t>
      </w:r>
    </w:p>
    <w:tbl>
      <w:tblPr>
        <w:tblW w:type="auto" w:w="0"/>
        <w:jc w:val="center"/>
        <w:tblLook w:firstColumn="1" w:firstRow="1" w:lastColumn="0" w:lastRow="0" w:noHBand="0" w:noVBand="1" w:val="04A0"/>
      </w:tblPr>
      <w:tblGrid>
        <w:gridCol w:w="10224"/>
      </w:tblGrid>
      <w:tr>
        <w:tc>
          <w:tcPr>
            <w:tcW w:type="dxa" w:w="10224"/>
            <w:shd w:fill="F4F6F9"/>
            <w:tcMar>
              <w:top w:w="100" w:type="dxa"/>
              <w:bottom w:w="100" w:type="dxa"/>
              <w:left w:w="120" w:type="dxa"/>
              <w:right w:w="120" w:type="dxa"/>
            </w:tcMar>
          </w:tcPr>
          <w:p>
            <w:pPr>
              <w:spacing w:after="0" w:line="252" w:lineRule="auto"/>
            </w:pPr>
            <w:r>
              <w:rPr>
                <w:rFonts w:ascii="Consolas" w:hAnsi="Consolas"/>
                <w:color w:val="1E1E1E"/>
                <w:sz w:val="15"/>
              </w:rPr>
              <w:t>========================================================================================================================</w:t>
              <w:br/>
              <w:t>STAGE           TIMELINE            PRIMARY ENTITY                  ACTION REQUIRED &amp; DELIVERABLES</w:t>
              <w:br/>
              <w:t>========================================================================================================================</w:t>
              <w:br/>
              <w:t>STAGE 1         Day 0               DB Insurance Co., Ltd.          - Serve Formal Claim Brief &amp; Preemptive Notice.</w:t>
              <w:br/>
              <w:t xml:space="preserve">                (Immediate)         (DB손해보험주식회사)             - Demand full Accidental Death Benefit (`28모1390`).</w:t>
              <w:br/>
              <w:t xml:space="preserve">                                                                    - Quote Commercial Code Arts. 732-2, 739, 663.</w:t>
              <w:br/>
              <w:t>------------------------------------------------------------------------------------------------------------------------</w:t>
              <w:br/>
              <w:t>STAGE 2         Day 1 to Day 3      DB Insurance Co., Ltd.          - Demand mandatory 50%+ Provisional Benefit</w:t>
              <w:br/>
              <w:t xml:space="preserve">                                    (DB손해보험주식회사)               (가지급보험금) pursuant to Standard Terms Art. 34.</w:t>
              <w:br/>
              <w:t>------------------------------------------------------------------------------------------------------------------------</w:t>
              <w:br/>
              <w:t>STAGE 3         Day 1 to Day 5      Seojeong University             - Serve formal claim notice to Office of Int'l Affairs.</w:t>
              <w:br/>
              <w:t xml:space="preserve">                                    (서정대학교 국제교류처)          - Request Master Group Policy number &amp; claim forms.</w:t>
              <w:br/>
              <w:t xml:space="preserve">                                    &amp; Group Insurer                 - Claim Accidental Death + Repatriation Expenses.</w:t>
              <w:br/>
              <w:t>------------------------------------------------------------------------------------------------------------------------</w:t>
              <w:br/>
              <w:t>STAGE 4         Day 1 to Day 10     Dhaka Authentication Track      - Notarize Legal Heir Cert, FRC &amp; Special POA in BD.</w:t>
              <w:br/>
              <w:t xml:space="preserve">                                    (MOFA &amp; Korean Embassy)         - Obtain MOFA Dhaka Attestation (or Apostille).</w:t>
              <w:br/>
              <w:t xml:space="preserve">                                                                    - Obtain Korean Embassy in Dhaka Consular Legalization.</w:t>
              <w:br/>
              <w:t xml:space="preserve">                                                                    - Courier authenticated dossier to Korea via DHL.</w:t>
              <w:br/>
              <w:t>------------------------------------------------------------------------------------------------------------------------</w:t>
              <w:br/>
              <w:t>STAGE 5         Day 11              Financial Supervisory Service   - If DB Insurance asserts unlicensed driving defense</w:t>
              <w:br/>
              <w:t xml:space="preserve">                                    (FSS / 금융감독원)               or delays past 10 days, lodge formal Financial</w:t>
              <w:br/>
              <w:t xml:space="preserve">                                                                      Dispute Mediation Petition (금융분쟁조정신청서).</w:t>
              <w:br/>
              <w:t>------------------------------------------------------------------------------------------------------------------------</w:t>
              <w:br/>
              <w:t>STAGE 6         Day 15 to Day 30    Korean Foreign Exchange Bank    - Submit legalized dossier, settlement notice &amp; tax clearance.</w:t>
              <w:br/>
              <w:t xml:space="preserve">                                    (외국환은행) &amp; Remittance        - Execute direct SWIFT MT103 wire transfers:</w:t>
              <w:br/>
              <w:t xml:space="preserve">                                                                      * Belal Hossain (Father): 2/3 Share (66.667%)</w:t>
              <w:br/>
              <w:t xml:space="preserve">                                                                      * Monoara Begum (Mother): 1/3 Share (33.333%)</w:t>
              <w:br/>
              <w:t>========================================================================================================================</w:t>
            </w:r>
          </w:p>
        </w:tc>
      </w:tr>
    </w:tbl>
    <w:p/>
    <w:p>
      <w:pPr>
        <w:spacing w:before="60" w:after="60"/>
      </w:pPr>
      <w:r>
        <w:rPr>
          <w:color w:val="BEBEBE"/>
        </w:rPr>
        <w:t>―――――――――――――――――――――――――――――――――――――――――――――</w:t>
      </w:r>
    </w:p>
    <w:p>
      <w:pPr>
        <w:spacing w:before="180" w:after="60"/>
      </w:pPr>
      <w:r>
        <w:rPr>
          <w:rFonts w:ascii="Malgun Gothic" w:hAnsi="Malgun Gothic"/>
          <w:b/>
          <w:color w:val="002060"/>
          <w:sz w:val="23"/>
        </w:rPr>
        <w:t>9. CONCLUSION &amp; STATUTORY SUMMARY</w:t>
      </w:r>
    </w:p>
    <w:p>
      <w:pPr>
        <w:pStyle w:val="ListNumber"/>
        <w:spacing w:after="40" w:line="276" w:lineRule="auto"/>
      </w:pPr>
      <w:r>
        <w:rPr>
          <w:rFonts w:ascii="Malgun Gothic" w:hAnsi="Malgun Gothic"/>
          <w:b/>
          <w:color w:val="1E1E1E"/>
          <w:sz w:val="19"/>
        </w:rPr>
        <w:t>Substantive Entitlement</w:t>
      </w:r>
      <w:r>
        <w:rPr>
          <w:rFonts w:ascii="Malgun Gothic" w:hAnsi="Malgun Gothic"/>
          <w:color w:val="1E1E1E"/>
          <w:sz w:val="19"/>
        </w:rPr>
        <w:t>: Under Korean Commercial Code Articles 732-2, 739, and 663 and binding Supreme Court case law (98Da48963), the unlicensed driving exemption is strictly void for first-party accidental death benefits (자손/자상) and foreign student group accident benefits.</w:t>
      </w:r>
    </w:p>
    <w:p>
      <w:pPr>
        <w:pStyle w:val="ListNumber"/>
        <w:spacing w:after="40" w:line="276" w:lineRule="auto"/>
      </w:pPr>
      <w:r>
        <w:rPr>
          <w:rFonts w:ascii="Malgun Gothic" w:hAnsi="Malgun Gothic"/>
          <w:b/>
          <w:color w:val="1E1E1E"/>
          <w:sz w:val="19"/>
        </w:rPr>
        <w:t>Succession Right</w:t>
      </w:r>
      <w:r>
        <w:rPr>
          <w:rFonts w:ascii="Malgun Gothic" w:hAnsi="Malgun Gothic"/>
          <w:color w:val="1E1E1E"/>
          <w:sz w:val="19"/>
        </w:rPr>
        <w:t xml:space="preserve">: Under Korean Private International Law Act Article 49 and Bangladeshi Muslim Law (Sunni Hanafi School), the surviving parents </w:t>
      </w:r>
      <w:r>
        <w:rPr>
          <w:rFonts w:ascii="Malgun Gothic" w:hAnsi="Malgun Gothic"/>
          <w:b/>
          <w:color w:val="1E1E1E"/>
          <w:sz w:val="19"/>
        </w:rPr>
        <w:t>BELAL HOSSAIN (2/3)</w:t>
      </w:r>
      <w:r>
        <w:rPr>
          <w:rFonts w:ascii="Malgun Gothic" w:hAnsi="Malgun Gothic"/>
          <w:color w:val="1E1E1E"/>
          <w:sz w:val="19"/>
        </w:rPr>
        <w:t xml:space="preserve"> and </w:t>
      </w:r>
      <w:r>
        <w:rPr>
          <w:rFonts w:ascii="Malgun Gothic" w:hAnsi="Malgun Gothic"/>
          <w:b/>
          <w:color w:val="1E1E1E"/>
          <w:sz w:val="19"/>
        </w:rPr>
        <w:t>MONOARA BEGUM (1/3)</w:t>
      </w:r>
      <w:r>
        <w:rPr>
          <w:rFonts w:ascii="Malgun Gothic" w:hAnsi="Malgun Gothic"/>
          <w:color w:val="1E1E1E"/>
          <w:sz w:val="19"/>
        </w:rPr>
        <w:t xml:space="preserve"> are the 100% sole and exclusive statutory heirs entitled to direct recovery.</w:t>
      </w:r>
    </w:p>
    <w:p>
      <w:pPr>
        <w:pStyle w:val="ListNumber"/>
        <w:spacing w:after="40" w:line="276" w:lineRule="auto"/>
      </w:pPr>
      <w:r>
        <w:rPr>
          <w:rFonts w:ascii="Malgun Gothic" w:hAnsi="Malgun Gothic"/>
          <w:b/>
          <w:color w:val="1E1E1E"/>
          <w:sz w:val="19"/>
        </w:rPr>
        <w:t>Execution Ready</w:t>
      </w:r>
      <w:r>
        <w:rPr>
          <w:rFonts w:ascii="Malgun Gothic" w:hAnsi="Malgun Gothic"/>
          <w:color w:val="1E1E1E"/>
          <w:sz w:val="19"/>
        </w:rPr>
        <w:t>: The accompanying execution-ready Bilingual Special Power of Attorney (</w:t>
      </w:r>
      <w:r>
        <w:rPr>
          <w:rFonts w:ascii="Consolas" w:hAnsi="Consolas"/>
          <w:color w:val="B40000"/>
          <w:sz w:val="18"/>
        </w:rPr>
        <w:t>04_bilingual_special_power_of_attorney.md</w:t>
      </w:r>
      <w:r>
        <w:rPr>
          <w:rFonts w:ascii="Malgun Gothic" w:hAnsi="Malgun Gothic"/>
          <w:color w:val="1E1E1E"/>
          <w:sz w:val="19"/>
        </w:rPr>
        <w:t>) and the Dual-Track Legalization framework ensure that all claims can be prosecuted and disbursed directly to the parents in Bangladesh with complete judicial and regulatory invulnerability.</w:t>
      </w:r>
    </w:p>
    <w:sectPr w:rsidR="00FC693F" w:rsidRPr="0006063C" w:rsidSect="00034616">
      <w:headerReference w:type="default" r:id="rId9"/>
      <w:footerReference w:type="default" r:id="rId10"/>
      <w:pgSz w:w="12240" w:h="15840"/>
      <w:pgMar w:top="1008" w:right="1008" w:bottom="1008"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Malgun Gothic" w:hAnsi="Malgun Gothic"/>
        <w:color w:val="8C8C8C"/>
        <w:sz w:val="16"/>
      </w:rPr>
      <w:t>Confidential Litigation Document — 04_cross_border_heirship_and_legalization_gui</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Malgun Gothic" w:hAnsi="Malgun Gothic"/>
        <w:color w:val="8C8C8C"/>
        <w:sz w:val="16"/>
      </w:rPr>
      <w:t>LEGAL RECOVERY DOSSIER | CASE: 2-2026-0531750-000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50"/>
    </w:pPr>
    <w:rPr>
      <w:rFonts w:ascii="Malgun Gothic" w:hAnsi="Malgun Gothic"/>
      <w:color w:val="1E1E1E"/>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