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19"/>
        <w:gridCol w:w="5119"/>
      </w:tblGrid>
      <w:tr>
        <w:tc>
          <w:tcPr>
            <w:tcW w:type="dxa" w:w="4320"/>
            <w:tcBorders>
              <w:top w:val="single" w:sz="0" w:space="0" w:color="FFFFFF"/>
              <w:left w:val="single" w:sz="0" w:space="0" w:color="FFFFFF"/>
              <w:bottom w:val="single" w:sz="0" w:space="0" w:color="FFFFFF"/>
              <w:right w:val="single" w:sz="0" w:space="0" w:color="FFFFFF"/>
            </w:tcBorders>
            <w:tcMar>
              <w:top w:w="0" w:type="dxa"/>
              <w:start w:w="0" w:type="dxa"/>
              <w:bottom w:w="0" w:type="dxa"/>
              <w:end w:w="0" w:type="dxa"/>
            </w:tcMar>
          </w:tcPr>
          <w:p>
            <w:pPr>
              <w:spacing w:before="0" w:after="0" w:line="240" w:lineRule="auto"/>
            </w:pPr>
            <w:r>
              <w:drawing>
                <wp:inline xmlns:a="http://schemas.openxmlformats.org/drawingml/2006/main" xmlns:pic="http://schemas.openxmlformats.org/drawingml/2006/picture">
                  <wp:extent cx="1143000" cy="489645"/>
                  <wp:docPr id="1" name="Picture 1"/>
                  <wp:cNvGraphicFramePr>
                    <a:graphicFrameLocks noChangeAspect="1"/>
                  </wp:cNvGraphicFramePr>
                  <a:graphic>
                    <a:graphicData uri="http://schemas.openxmlformats.org/drawingml/2006/picture">
                      <pic:pic>
                        <pic:nvPicPr>
                          <pic:cNvPr id="0" name="35556.png"/>
                          <pic:cNvPicPr/>
                        </pic:nvPicPr>
                        <pic:blipFill>
                          <a:blip r:embed="rId10"/>
                          <a:stretch>
                            <a:fillRect/>
                          </a:stretch>
                        </pic:blipFill>
                        <pic:spPr>
                          <a:xfrm>
                            <a:off x="0" y="0"/>
                            <a:ext cx="1143000" cy="489645"/>
                          </a:xfrm>
                          <a:prstGeom prst="rect"/>
                        </pic:spPr>
                      </pic:pic>
                    </a:graphicData>
                  </a:graphic>
                </wp:inline>
              </w:drawing>
            </w:r>
          </w:p>
          <w:p>
            <w:pPr>
              <w:spacing w:before="40" w:after="0" w:line="240" w:lineRule="auto"/>
            </w:pPr>
            <w:r>
              <w:rPr>
                <w:rFonts w:ascii="Arimo" w:hAnsi="Arimo" w:eastAsia="Arimo"/>
                <w:b w:val="0"/>
                <w:color w:val="666A73"/>
                <w:sz w:val="15"/>
              </w:rPr>
              <w:t>See further. Stay protected.</w:t>
            </w:r>
          </w:p>
        </w:tc>
        <w:tc>
          <w:tcPr>
            <w:tcW w:type="dxa" w:w="5832"/>
            <w:tcBorders>
              <w:top w:val="single" w:sz="0" w:space="0" w:color="FFFFFF"/>
              <w:left w:val="single" w:sz="0" w:space="0" w:color="FFFFFF"/>
              <w:bottom w:val="single" w:sz="0" w:space="0" w:color="FFFFFF"/>
              <w:right w:val="single" w:sz="0" w:space="0" w:color="FFFFFF"/>
            </w:tcBorders>
            <w:tcMar>
              <w:top w:w="0" w:type="dxa"/>
              <w:start w:w="0" w:type="dxa"/>
              <w:bottom w:w="0" w:type="dxa"/>
              <w:end w:w="0" w:type="dxa"/>
            </w:tcMar>
          </w:tcPr>
          <w:p>
            <w:pPr>
              <w:spacing w:before="0" w:after="0" w:line="240" w:lineRule="auto"/>
              <w:jc w:val="right"/>
            </w:pPr>
            <w:r>
              <w:rPr>
                <w:rFonts w:ascii="Arimo" w:hAnsi="Arimo" w:eastAsia="Arimo"/>
                <w:b/>
                <w:color w:val="1A1A24"/>
                <w:sz w:val="16"/>
              </w:rPr>
              <w:t>Prepared by VANTAGE</w:t>
            </w:r>
            <w:r>
              <w:br/>
            </w:r>
            <w:r>
              <w:rPr>
                <w:rFonts w:ascii="Arimo" w:hAnsi="Arimo" w:eastAsia="Arimo"/>
                <w:b w:val="0"/>
                <w:color w:val="666A73"/>
                <w:sz w:val="15"/>
              </w:rPr>
              <w:t>Operated by Keystone Consultancy</w:t>
            </w:r>
            <w:r>
              <w:br/>
            </w:r>
            <w:r>
              <w:rPr>
                <w:rFonts w:ascii="Arimo" w:hAnsi="Arimo" w:eastAsia="Arimo"/>
                <w:b w:val="0"/>
                <w:color w:val="666A73"/>
                <w:sz w:val="14"/>
              </w:rPr>
              <w:t>munimhasibul10@gmail.com  |  +8801941646278</w:t>
            </w:r>
            <w:r>
              <w:br/>
            </w:r>
            <w:r>
              <w:rPr>
                <w:rFonts w:ascii="Arimo" w:hAnsi="Arimo" w:eastAsia="Arimo"/>
                <w:b w:val="0"/>
                <w:color w:val="666A73"/>
                <w:sz w:val="14"/>
              </w:rPr>
              <w:t>govantage.vercel.app</w:t>
            </w:r>
          </w:p>
        </w:tc>
      </w:tr>
    </w:tbl>
    <w:p>
      <w:pPr>
        <w:spacing w:before="100" w:after="240" w:line="240" w:lineRule="auto"/>
        <w:pBdr>
          <w:bottom w:val="single" w:sz="6" w:space="1" w:color="D8DAE0"/>
        </w:pBdr>
      </w:pPr>
      <w:r/>
    </w:p>
    <w:p>
      <w:pPr>
        <w:spacing w:before="0" w:after="40" w:line="240" w:lineRule="auto"/>
        <w:jc w:val="left"/>
      </w:pPr>
      <w:r>
        <w:rPr>
          <w:rFonts w:ascii="Arimo" w:hAnsi="Arimo" w:eastAsia="Arimo"/>
          <w:b/>
          <w:color w:val="1A1A24"/>
          <w:sz w:val="36"/>
        </w:rPr>
        <w:t>FREE FACTORY GAP SCAN FORM</w:t>
      </w:r>
    </w:p>
    <w:p>
      <w:pPr>
        <w:spacing w:before="0" w:after="220" w:line="252" w:lineRule="auto"/>
      </w:pPr>
      <w:r>
        <w:rPr>
          <w:rFonts w:ascii="Arimo" w:hAnsi="Arimo" w:eastAsia="Arimo"/>
          <w:b w:val="0"/>
          <w:color w:val="666A73"/>
          <w:sz w:val="18"/>
        </w:rPr>
        <w:t>Preliminary readiness intake for Bangladesh RMG export factories. Designed for sales lead capture, document readiness review, and internal remediation planning.</w:t>
      </w:r>
    </w:p>
    <w:tbl>
      <w:tblPr>
        <w:tblW w:type="auto" w:w="0"/>
        <w:jc w:val="center"/>
        <w:tblLayout w:type="fixed"/>
        <w:tblLook w:firstColumn="1" w:firstRow="1" w:lastColumn="0" w:lastRow="0" w:noHBand="0" w:noVBand="1" w:val="04A0"/>
      </w:tblPr>
      <w:tblGrid>
        <w:gridCol w:w="5119"/>
        <w:gridCol w:w="5119"/>
      </w:tblGrid>
      <w:tr>
        <w:tc>
          <w:tcPr>
            <w:tcW w:type="dxa" w:w="244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Document Title</w:t>
            </w:r>
          </w:p>
        </w:tc>
        <w:tc>
          <w:tcPr>
            <w:tcW w:type="dxa" w:w="770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Free Factory Gap Scan Form</w:t>
            </w:r>
          </w:p>
        </w:tc>
      </w:tr>
      <w:tr>
        <w:tc>
          <w:tcPr>
            <w:tcW w:type="dxa" w:w="244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Document Code</w:t>
            </w:r>
          </w:p>
        </w:tc>
        <w:tc>
          <w:tcPr>
            <w:tcW w:type="dxa" w:w="770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VANTAGE-FGS-FORM-001</w:t>
            </w:r>
          </w:p>
        </w:tc>
      </w:tr>
      <w:tr>
        <w:tc>
          <w:tcPr>
            <w:tcW w:type="dxa" w:w="244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Version</w:t>
            </w:r>
          </w:p>
        </w:tc>
        <w:tc>
          <w:tcPr>
            <w:tcW w:type="dxa" w:w="770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1.0</w:t>
            </w:r>
          </w:p>
        </w:tc>
      </w:tr>
      <w:tr>
        <w:tc>
          <w:tcPr>
            <w:tcW w:type="dxa" w:w="244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Status</w:t>
            </w:r>
          </w:p>
        </w:tc>
        <w:tc>
          <w:tcPr>
            <w:tcW w:type="dxa" w:w="770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Ready for Client Intake</w:t>
            </w:r>
          </w:p>
        </w:tc>
      </w:tr>
      <w:tr>
        <w:tc>
          <w:tcPr>
            <w:tcW w:type="dxa" w:w="244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Date</w:t>
            </w:r>
          </w:p>
        </w:tc>
        <w:tc>
          <w:tcPr>
            <w:tcW w:type="dxa" w:w="770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27 May 2026</w:t>
            </w:r>
          </w:p>
        </w:tc>
      </w:tr>
      <w:tr>
        <w:tc>
          <w:tcPr>
            <w:tcW w:type="dxa" w:w="244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Prepared by</w:t>
            </w:r>
          </w:p>
        </w:tc>
        <w:tc>
          <w:tcPr>
            <w:tcW w:type="dxa" w:w="770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VANTAGE</w:t>
            </w:r>
          </w:p>
        </w:tc>
      </w:tr>
      <w:tr>
        <w:tc>
          <w:tcPr>
            <w:tcW w:type="dxa" w:w="244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Operated by</w:t>
            </w:r>
          </w:p>
        </w:tc>
        <w:tc>
          <w:tcPr>
            <w:tcW w:type="dxa" w:w="770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Keystone Consultancy</w:t>
            </w:r>
          </w:p>
        </w:tc>
      </w:tr>
      <w:tr>
        <w:tc>
          <w:tcPr>
            <w:tcW w:type="dxa" w:w="244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Folder Classification</w:t>
            </w:r>
          </w:p>
        </w:tc>
        <w:tc>
          <w:tcPr>
            <w:tcW w:type="dxa" w:w="770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03_SALES_LEAD_CAPTURE</w:t>
            </w:r>
          </w:p>
        </w:tc>
      </w:tr>
    </w:tbl>
    <w:tbl>
      <w:tblPr>
        <w:tblW w:type="auto" w:w="0"/>
        <w:jc w:val="center"/>
        <w:tblLayout w:type="autofit"/>
        <w:tblLook w:firstColumn="1" w:firstRow="1" w:lastColumn="0" w:lastRow="0" w:noHBand="0" w:noVBand="1" w:val="04A0"/>
      </w:tblPr>
      <w:tblGrid>
        <w:gridCol w:w="10239"/>
      </w:tblGrid>
      <w:tr>
        <w:tc>
          <w:tcPr>
            <w:tcW w:type="dxa" w:w="10239"/>
            <w:tcBorders>
              <w:top w:val="single" w:sz="4" w:space="0" w:color="D8DAE0"/>
              <w:left w:val="single" w:sz="4" w:space="0" w:color="D8DAE0"/>
              <w:bottom w:val="single" w:sz="4" w:space="0" w:color="D8DAE0"/>
              <w:right w:val="single" w:sz="4" w:space="0" w:color="D8DAE0"/>
            </w:tcBorders>
            <w:tcMar>
              <w:top w:w="110" w:type="dxa"/>
              <w:start w:w="120" w:type="dxa"/>
              <w:bottom w:w="110" w:type="dxa"/>
              <w:end w:w="120" w:type="dxa"/>
            </w:tcMar>
            <w:vAlign w:val="center"/>
            <w:shd w:fill="F5F6F8"/>
          </w:tcPr>
          <w:p>
            <w:pPr>
              <w:spacing w:before="0" w:after="0" w:line="252" w:lineRule="auto"/>
            </w:pPr>
            <w:r>
              <w:rPr>
                <w:rFonts w:ascii="Arimo" w:hAnsi="Arimo" w:eastAsia="Arimo"/>
                <w:b w:val="0"/>
                <w:color w:val="303039"/>
                <w:sz w:val="17"/>
              </w:rPr>
              <w:t>Use this form to run a limited, no-charge readiness scan. The output is a preliminary internal snapshot only. It does not create legal advice, buyer acceptance, regulator acceptance, or third-party assurance.</w:t>
            </w:r>
          </w:p>
        </w:tc>
      </w:tr>
    </w:tbl>
    <w:p>
      <w:pPr>
        <w:spacing w:after="0"/>
      </w:pPr>
    </w:p>
    <w:p>
      <w:pPr>
        <w:spacing w:before="240" w:after="100" w:line="240" w:lineRule="auto"/>
      </w:pPr>
      <w:r>
        <w:rPr>
          <w:rFonts w:ascii="Arimo" w:hAnsi="Arimo" w:eastAsia="Arimo"/>
          <w:b/>
          <w:color w:val="1A1A24"/>
          <w:sz w:val="22"/>
        </w:rPr>
        <w:t>1. Factory information</w:t>
      </w:r>
    </w:p>
    <w:tbl>
      <w:tblPr>
        <w:tblW w:type="auto" w:w="0"/>
        <w:jc w:val="center"/>
        <w:tblLayout w:type="fixed"/>
        <w:tblLook w:firstColumn="1" w:firstRow="1" w:lastColumn="0" w:lastRow="0" w:noHBand="0" w:noVBand="1" w:val="04A0"/>
      </w:tblPr>
      <w:tblGrid>
        <w:gridCol w:w="5119"/>
        <w:gridCol w:w="5119"/>
      </w:tblGrid>
      <w:tr>
        <w:tc>
          <w:tcPr>
            <w:tcW w:type="dxa" w:w="316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7"/>
              </w:rPr>
              <w:t>Factory legal name</w:t>
            </w:r>
          </w:p>
        </w:tc>
        <w:tc>
          <w:tcPr>
            <w:tcW w:type="dxa" w:w="698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7"/>
              </w:rPr>
            </w:r>
          </w:p>
        </w:tc>
      </w:tr>
      <w:tr>
        <w:tc>
          <w:tcPr>
            <w:tcW w:type="dxa" w:w="316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7"/>
              </w:rPr>
              <w:t>Factory address / location</w:t>
            </w:r>
          </w:p>
        </w:tc>
        <w:tc>
          <w:tcPr>
            <w:tcW w:type="dxa" w:w="698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7"/>
              </w:rPr>
            </w:r>
          </w:p>
        </w:tc>
      </w:tr>
      <w:tr>
        <w:tc>
          <w:tcPr>
            <w:tcW w:type="dxa" w:w="316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7"/>
              </w:rPr>
              <w:t>Contact person and designation</w:t>
            </w:r>
          </w:p>
        </w:tc>
        <w:tc>
          <w:tcPr>
            <w:tcW w:type="dxa" w:w="698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7"/>
              </w:rPr>
            </w:r>
          </w:p>
        </w:tc>
      </w:tr>
      <w:tr>
        <w:tc>
          <w:tcPr>
            <w:tcW w:type="dxa" w:w="316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7"/>
              </w:rPr>
              <w:t>Phone / WhatsApp / email</w:t>
            </w:r>
          </w:p>
        </w:tc>
        <w:tc>
          <w:tcPr>
            <w:tcW w:type="dxa" w:w="698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7"/>
              </w:rPr>
            </w:r>
          </w:p>
        </w:tc>
      </w:tr>
      <w:tr>
        <w:tc>
          <w:tcPr>
            <w:tcW w:type="dxa" w:w="316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7"/>
              </w:rPr>
              <w:t>Total workforce approx.</w:t>
            </w:r>
          </w:p>
        </w:tc>
        <w:tc>
          <w:tcPr>
            <w:tcW w:type="dxa" w:w="698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7"/>
              </w:rPr>
            </w:r>
          </w:p>
        </w:tc>
      </w:tr>
      <w:tr>
        <w:tc>
          <w:tcPr>
            <w:tcW w:type="dxa" w:w="316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7"/>
              </w:rPr>
              <w:t>Main product category</w:t>
            </w:r>
          </w:p>
        </w:tc>
        <w:tc>
          <w:tcPr>
            <w:tcW w:type="dxa" w:w="698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7"/>
              </w:rPr>
            </w:r>
          </w:p>
        </w:tc>
      </w:tr>
      <w:tr>
        <w:tc>
          <w:tcPr>
            <w:tcW w:type="dxa" w:w="316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7"/>
              </w:rPr>
              <w:t>Key export markets</w:t>
            </w:r>
          </w:p>
        </w:tc>
        <w:tc>
          <w:tcPr>
            <w:tcW w:type="dxa" w:w="698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7"/>
              </w:rPr>
            </w:r>
          </w:p>
        </w:tc>
      </w:tr>
      <w:tr>
        <w:tc>
          <w:tcPr>
            <w:tcW w:type="dxa" w:w="316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7"/>
              </w:rPr>
              <w:t>Target buyer review / key buyers</w:t>
            </w:r>
          </w:p>
        </w:tc>
        <w:tc>
          <w:tcPr>
            <w:tcW w:type="dxa" w:w="6983"/>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7"/>
              </w:rPr>
            </w:r>
          </w:p>
        </w:tc>
      </w:tr>
    </w:tbl>
    <w:p>
      <w:pPr>
        <w:spacing w:before="240" w:after="100" w:line="240" w:lineRule="auto"/>
      </w:pPr>
      <w:r>
        <w:rPr>
          <w:rFonts w:ascii="Arimo" w:hAnsi="Arimo" w:eastAsia="Arimo"/>
          <w:b/>
          <w:color w:val="1A1A24"/>
          <w:sz w:val="22"/>
        </w:rPr>
        <w:t>2. Scan scope requested</w:t>
      </w:r>
    </w:p>
    <w:tbl>
      <w:tblPr>
        <w:tblW w:type="auto" w:w="0"/>
        <w:jc w:val="center"/>
        <w:tblLayout w:type="fixed"/>
        <w:tblLook w:firstColumn="1" w:firstRow="1" w:lastColumn="0" w:lastRow="0" w:noHBand="0" w:noVBand="1" w:val="04A0"/>
      </w:tblPr>
      <w:tblGrid>
        <w:gridCol w:w="3413"/>
        <w:gridCol w:w="3413"/>
        <w:gridCol w:w="3413"/>
      </w:tblGrid>
      <w:tr>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General compliance documents</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Labour law / HR policy file</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Wage and attendance records</w:t>
            </w:r>
          </w:p>
        </w:tc>
      </w:tr>
      <w:tr>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Worker file readiness</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OSH and safety records</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RSC / CAP readiness</w:t>
            </w:r>
          </w:p>
        </w:tc>
      </w:tr>
      <w:tr>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Subcontractor due diligence</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Bond / customs reconciliation</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Buyer code-of-conduct mapping</w:t>
            </w:r>
          </w:p>
        </w:tc>
      </w:tr>
      <w:tr>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Monthly maintenance support</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Other: ______________________</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r>
          </w:p>
        </w:tc>
      </w:tr>
    </w:tbl>
    <w:p>
      <w:r>
        <w:br w:type="page"/>
      </w:r>
    </w:p>
    <w:p>
      <w:pPr>
        <w:spacing w:before="240" w:after="100" w:line="240" w:lineRule="auto"/>
      </w:pPr>
      <w:r>
        <w:rPr>
          <w:rFonts w:ascii="Arimo" w:hAnsi="Arimo" w:eastAsia="Arimo"/>
          <w:b/>
          <w:color w:val="1A1A24"/>
          <w:sz w:val="22"/>
        </w:rPr>
        <w:t>3. Core document readiness tracker</w:t>
      </w:r>
    </w:p>
    <w:tbl>
      <w:tblPr>
        <w:tblW w:type="auto" w:w="0"/>
        <w:jc w:val="center"/>
        <w:tblLayout w:type="autofit"/>
        <w:tblLook w:firstColumn="1" w:firstRow="1" w:lastColumn="0" w:lastRow="0" w:noHBand="0" w:noVBand="1" w:val="04A0"/>
      </w:tblPr>
      <w:tblGrid>
        <w:gridCol w:w="10239"/>
      </w:tblGrid>
      <w:tr>
        <w:tc>
          <w:tcPr>
            <w:tcW w:type="dxa" w:w="10239"/>
            <w:tcBorders>
              <w:top w:val="single" w:sz="4" w:space="0" w:color="D8DAE0"/>
              <w:left w:val="single" w:sz="4" w:space="0" w:color="D8DAE0"/>
              <w:bottom w:val="single" w:sz="4" w:space="0" w:color="D8DAE0"/>
              <w:right w:val="single" w:sz="4" w:space="0" w:color="D8DAE0"/>
            </w:tcBorders>
            <w:tcMar>
              <w:top w:w="110" w:type="dxa"/>
              <w:start w:w="120" w:type="dxa"/>
              <w:bottom w:w="110" w:type="dxa"/>
              <w:end w:w="120" w:type="dxa"/>
            </w:tcMar>
            <w:vAlign w:val="center"/>
            <w:shd w:fill="F5F6F8"/>
          </w:tcPr>
          <w:p>
            <w:pPr>
              <w:spacing w:before="0" w:after="0" w:line="252" w:lineRule="auto"/>
            </w:pPr>
            <w:r>
              <w:rPr>
                <w:rFonts w:ascii="Arimo" w:hAnsi="Arimo" w:eastAsia="Arimo"/>
                <w:b w:val="0"/>
                <w:color w:val="303039"/>
                <w:sz w:val="17"/>
              </w:rPr>
              <w:t>Status options: Available / Missing / Expired / Incomplete / Not applicable. VANTAGE notes should record only observable document status and gaps, not accusations or legal conclusions.</w:t>
            </w:r>
          </w:p>
        </w:tc>
      </w:tr>
    </w:tbl>
    <w:p>
      <w:pPr>
        <w:spacing w:after="0"/>
      </w:pPr>
    </w:p>
    <w:tbl>
      <w:tblPr>
        <w:tblW w:type="auto" w:w="0"/>
        <w:jc w:val="center"/>
        <w:tblLayout w:type="fixed"/>
        <w:tblLook w:firstColumn="1" w:firstRow="1" w:lastColumn="0" w:lastRow="0" w:noHBand="0" w:noVBand="1" w:val="04A0"/>
      </w:tblPr>
      <w:tblGrid>
        <w:gridCol w:w="2560"/>
        <w:gridCol w:w="2560"/>
        <w:gridCol w:w="2560"/>
        <w:gridCol w:w="2560"/>
      </w:tblGrid>
      <w:tr>
        <w:tc>
          <w:tcPr>
            <w:tcW w:type="dxa" w:w="3311"/>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Document area</w:t>
            </w:r>
          </w:p>
        </w:tc>
        <w:tc>
          <w:tcPr>
            <w:tcW w:type="dxa" w:w="1800"/>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Status</w:t>
            </w:r>
          </w:p>
        </w:tc>
        <w:tc>
          <w:tcPr>
            <w:tcW w:type="dxa" w:w="1944"/>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Expiry / period</w:t>
            </w:r>
          </w:p>
        </w:tc>
        <w:tc>
          <w:tcPr>
            <w:tcW w:type="dxa" w:w="3096"/>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VANTAGE notes</w:t>
            </w:r>
          </w:p>
        </w:tc>
      </w:tr>
      <w:tr>
        <w:tc>
          <w:tcPr>
            <w:tcW w:type="dxa" w:w="3311"/>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Trade licence and factory licence file</w:t>
            </w:r>
          </w:p>
        </w:tc>
        <w:tc>
          <w:tcPr>
            <w:tcW w:type="dxa" w:w="180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94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09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311"/>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DIFE-related registration or correspondence</w:t>
            </w:r>
          </w:p>
        </w:tc>
        <w:tc>
          <w:tcPr>
            <w:tcW w:type="dxa" w:w="180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94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09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311"/>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Fire safety licence / fire service file</w:t>
            </w:r>
          </w:p>
        </w:tc>
        <w:tc>
          <w:tcPr>
            <w:tcW w:type="dxa" w:w="180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94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09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311"/>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Environmental clearance file</w:t>
            </w:r>
          </w:p>
        </w:tc>
        <w:tc>
          <w:tcPr>
            <w:tcW w:type="dxa" w:w="180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94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09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311"/>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Buyer code-of-conduct file</w:t>
            </w:r>
          </w:p>
        </w:tc>
        <w:tc>
          <w:tcPr>
            <w:tcW w:type="dxa" w:w="180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94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09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311"/>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Previous third-party review reports</w:t>
            </w:r>
          </w:p>
        </w:tc>
        <w:tc>
          <w:tcPr>
            <w:tcW w:type="dxa" w:w="180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94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09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311"/>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Previous corrective action plan file</w:t>
            </w:r>
          </w:p>
        </w:tc>
        <w:tc>
          <w:tcPr>
            <w:tcW w:type="dxa" w:w="180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94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09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311"/>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Policy manual / employee handbook</w:t>
            </w:r>
          </w:p>
        </w:tc>
        <w:tc>
          <w:tcPr>
            <w:tcW w:type="dxa" w:w="180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94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09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311"/>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Document expiry tracker</w:t>
            </w:r>
          </w:p>
        </w:tc>
        <w:tc>
          <w:tcPr>
            <w:tcW w:type="dxa" w:w="180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94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09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311"/>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Management responsibility matrix</w:t>
            </w:r>
          </w:p>
        </w:tc>
        <w:tc>
          <w:tcPr>
            <w:tcW w:type="dxa" w:w="180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94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09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bl>
    <w:p>
      <w:pPr>
        <w:spacing w:before="240" w:after="100" w:line="240" w:lineRule="auto"/>
      </w:pPr>
      <w:r>
        <w:rPr>
          <w:rFonts w:ascii="Arimo" w:hAnsi="Arimo" w:eastAsia="Arimo"/>
          <w:b/>
          <w:color w:val="1A1A24"/>
          <w:sz w:val="22"/>
        </w:rPr>
        <w:t>4. OSH, safety and CAP-readiness snapshot</w:t>
      </w:r>
    </w:p>
    <w:tbl>
      <w:tblPr>
        <w:tblW w:type="auto" w:w="0"/>
        <w:jc w:val="center"/>
        <w:tblLayout w:type="fixed"/>
        <w:tblLook w:firstColumn="1" w:firstRow="1" w:lastColumn="0" w:lastRow="0" w:noHBand="0" w:noVBand="1" w:val="04A0"/>
      </w:tblPr>
      <w:tblGrid>
        <w:gridCol w:w="2560"/>
        <w:gridCol w:w="2560"/>
        <w:gridCol w:w="2560"/>
        <w:gridCol w:w="2560"/>
      </w:tblGrid>
      <w:tr>
        <w:tc>
          <w:tcPr>
            <w:tcW w:type="dxa" w:w="3240"/>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Safety area</w:t>
            </w:r>
          </w:p>
        </w:tc>
        <w:tc>
          <w:tcPr>
            <w:tcW w:type="dxa" w:w="1512"/>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Available?</w:t>
            </w:r>
          </w:p>
        </w:tc>
        <w:tc>
          <w:tcPr>
            <w:tcW w:type="dxa" w:w="1584"/>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Risk band</w:t>
            </w:r>
          </w:p>
        </w:tc>
        <w:tc>
          <w:tcPr>
            <w:tcW w:type="dxa" w:w="3816"/>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Notes / next evidence needed</w:t>
            </w:r>
          </w:p>
        </w:tc>
      </w:tr>
      <w:tr>
        <w:tc>
          <w:tcPr>
            <w:tcW w:type="dxa" w:w="324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Building / structural safety file</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5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8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24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Electrical safety records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5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8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24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Boiler / compressor records, if applicable</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5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8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24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Fire drill and evacuation records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5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8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24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First aid / medical room records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5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8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24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Machine safety and PPE training records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5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8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24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Accident / incident register</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5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8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r>
        <w:tc>
          <w:tcPr>
            <w:tcW w:type="dxa" w:w="324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5"/>
              </w:rPr>
              <w:t>RSC or buyer corrective-action evidence file</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15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c>
          <w:tcPr>
            <w:tcW w:type="dxa" w:w="38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r>
          </w:p>
        </w:tc>
      </w:tr>
    </w:tbl>
    <w:p>
      <w:r>
        <w:br w:type="page"/>
      </w:r>
    </w:p>
    <w:p>
      <w:pPr>
        <w:spacing w:before="240" w:after="100" w:line="240" w:lineRule="auto"/>
      </w:pPr>
      <w:r>
        <w:rPr>
          <w:rFonts w:ascii="Arimo" w:hAnsi="Arimo" w:eastAsia="Arimo"/>
          <w:b/>
          <w:color w:val="1A1A24"/>
          <w:sz w:val="22"/>
        </w:rPr>
        <w:t>5. HR, wage, attendance and worker-file snapshot</w:t>
      </w:r>
    </w:p>
    <w:tbl>
      <w:tblPr>
        <w:tblW w:type="auto" w:w="0"/>
        <w:jc w:val="center"/>
        <w:tblLayout w:type="autofit"/>
        <w:tblLook w:firstColumn="1" w:firstRow="1" w:lastColumn="0" w:lastRow="0" w:noHBand="0" w:noVBand="1" w:val="04A0"/>
      </w:tblPr>
      <w:tblGrid>
        <w:gridCol w:w="10239"/>
      </w:tblGrid>
      <w:tr>
        <w:tc>
          <w:tcPr>
            <w:tcW w:type="dxa" w:w="10239"/>
            <w:tcBorders>
              <w:top w:val="single" w:sz="4" w:space="0" w:color="D8DAE0"/>
              <w:left w:val="single" w:sz="4" w:space="0" w:color="D8DAE0"/>
              <w:bottom w:val="single" w:sz="4" w:space="0" w:color="D8DAE0"/>
              <w:right w:val="single" w:sz="4" w:space="0" w:color="D8DAE0"/>
            </w:tcBorders>
            <w:tcMar>
              <w:top w:w="110" w:type="dxa"/>
              <w:start w:w="120" w:type="dxa"/>
              <w:bottom w:w="110" w:type="dxa"/>
              <w:end w:w="120" w:type="dxa"/>
            </w:tcMar>
            <w:vAlign w:val="center"/>
            <w:shd w:fill="F5F6F8"/>
          </w:tcPr>
          <w:p>
            <w:pPr>
              <w:spacing w:before="0" w:after="0" w:line="252" w:lineRule="auto"/>
            </w:pPr>
            <w:r>
              <w:rPr>
                <w:rFonts w:ascii="Arimo" w:hAnsi="Arimo" w:eastAsia="Arimo"/>
                <w:b w:val="0"/>
                <w:color w:val="303039"/>
                <w:sz w:val="17"/>
              </w:rPr>
              <w:t>For the free scan, request masked samples where possible. Avoid collecting worker names, NID numbers, union-sensitive information, personal grievance identities, bank details or MFS numbers unless a signed data-control arrangement is in place.</w:t>
            </w:r>
          </w:p>
        </w:tc>
      </w:tr>
    </w:tbl>
    <w:p>
      <w:pPr>
        <w:spacing w:after="0"/>
      </w:pPr>
    </w:p>
    <w:tbl>
      <w:tblPr>
        <w:tblW w:type="auto" w:w="0"/>
        <w:jc w:val="center"/>
        <w:tblLayout w:type="fixed"/>
        <w:tblLook w:firstColumn="1" w:firstRow="1" w:lastColumn="0" w:lastRow="0" w:noHBand="0" w:noVBand="1" w:val="04A0"/>
      </w:tblPr>
      <w:tblGrid>
        <w:gridCol w:w="2560"/>
        <w:gridCol w:w="2560"/>
        <w:gridCol w:w="2560"/>
        <w:gridCol w:w="2560"/>
      </w:tblGrid>
      <w:tr>
        <w:tc>
          <w:tcPr>
            <w:tcW w:type="dxa" w:w="3528"/>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Record area</w:t>
            </w:r>
          </w:p>
        </w:tc>
        <w:tc>
          <w:tcPr>
            <w:tcW w:type="dxa" w:w="1512"/>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Status</w:t>
            </w:r>
          </w:p>
        </w:tc>
        <w:tc>
          <w:tcPr>
            <w:tcW w:type="dxa" w:w="1728"/>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Sample period</w:t>
            </w:r>
          </w:p>
        </w:tc>
        <w:tc>
          <w:tcPr>
            <w:tcW w:type="dxa" w:w="3384"/>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Gap / action note</w:t>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Current worker list</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Appointment letter / service book sample</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Worker personal-file checklist</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Attendance records - last 3 months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Overtime records - last 3 months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Wage sheets - last 3 months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Payment proof, bank or MFS sample</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Leave, maternity and termination records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Participation / safety committee records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Grievance log and resolution proof</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Training attendance and photo evidence log</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bl>
    <w:p>
      <w:pPr>
        <w:spacing w:before="240" w:after="100" w:line="240" w:lineRule="auto"/>
      </w:pPr>
      <w:r>
        <w:rPr>
          <w:rFonts w:ascii="Arimo" w:hAnsi="Arimo" w:eastAsia="Arimo"/>
          <w:b/>
          <w:color w:val="1A1A24"/>
          <w:sz w:val="22"/>
        </w:rPr>
        <w:t>6. Production, subcontractor and bond-readiness snapshot</w:t>
      </w:r>
    </w:p>
    <w:tbl>
      <w:tblPr>
        <w:tblW w:type="auto" w:w="0"/>
        <w:jc w:val="center"/>
        <w:tblLayout w:type="fixed"/>
        <w:tblLook w:firstColumn="1" w:firstRow="1" w:lastColumn="0" w:lastRow="0" w:noHBand="0" w:noVBand="1" w:val="04A0"/>
      </w:tblPr>
      <w:tblGrid>
        <w:gridCol w:w="2560"/>
        <w:gridCol w:w="2560"/>
        <w:gridCol w:w="2560"/>
        <w:gridCol w:w="2560"/>
      </w:tblGrid>
      <w:tr>
        <w:tc>
          <w:tcPr>
            <w:tcW w:type="dxa" w:w="3528"/>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Record area</w:t>
            </w:r>
          </w:p>
        </w:tc>
        <w:tc>
          <w:tcPr>
            <w:tcW w:type="dxa" w:w="1512"/>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Status</w:t>
            </w:r>
          </w:p>
        </w:tc>
        <w:tc>
          <w:tcPr>
            <w:tcW w:type="dxa" w:w="1728"/>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Period / batch</w:t>
            </w:r>
          </w:p>
        </w:tc>
        <w:tc>
          <w:tcPr>
            <w:tcW w:type="dxa" w:w="3384"/>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Notes / missing evidence</w:t>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Buyer tech-pack / internal work-order file</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Cutting register and production records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QC records and shipment file</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Subcontractor list and authorization records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Subcontractor wage / safety documents where available</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LC, Bill of Entry and UD records if applicable</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35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Stock, wastage and reconciliation records</w:t>
            </w:r>
          </w:p>
        </w:tc>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bl>
    <w:p>
      <w:r>
        <w:br w:type="page"/>
      </w:r>
    </w:p>
    <w:p>
      <w:pPr>
        <w:spacing w:before="240" w:after="100" w:line="240" w:lineRule="auto"/>
      </w:pPr>
      <w:r>
        <w:rPr>
          <w:rFonts w:ascii="Arimo" w:hAnsi="Arimo" w:eastAsia="Arimo"/>
          <w:b/>
          <w:color w:val="1A1A24"/>
          <w:sz w:val="22"/>
        </w:rPr>
        <w:t>7. Priority gap identification</w:t>
      </w:r>
    </w:p>
    <w:tbl>
      <w:tblPr>
        <w:tblW w:type="auto" w:w="0"/>
        <w:jc w:val="center"/>
        <w:tblLayout w:type="autofit"/>
        <w:tblLook w:firstColumn="1" w:firstRow="1" w:lastColumn="0" w:lastRow="0" w:noHBand="0" w:noVBand="1" w:val="04A0"/>
      </w:tblPr>
      <w:tblGrid>
        <w:gridCol w:w="10239"/>
      </w:tblGrid>
      <w:tr>
        <w:tc>
          <w:tcPr>
            <w:tcW w:type="dxa" w:w="10239"/>
            <w:tcBorders>
              <w:top w:val="single" w:sz="4" w:space="0" w:color="D8DAE0"/>
              <w:left w:val="single" w:sz="4" w:space="0" w:color="D8DAE0"/>
              <w:bottom w:val="single" w:sz="4" w:space="0" w:color="D8DAE0"/>
              <w:right w:val="single" w:sz="4" w:space="0" w:color="D8DAE0"/>
            </w:tcBorders>
            <w:tcMar>
              <w:top w:w="110" w:type="dxa"/>
              <w:start w:w="120" w:type="dxa"/>
              <w:bottom w:w="110" w:type="dxa"/>
              <w:end w:w="120" w:type="dxa"/>
            </w:tcMar>
            <w:vAlign w:val="center"/>
            <w:shd w:fill="F5F6F8"/>
          </w:tcPr>
          <w:p>
            <w:pPr>
              <w:spacing w:before="0" w:after="0" w:line="252" w:lineRule="auto"/>
            </w:pPr>
            <w:r>
              <w:rPr>
                <w:rFonts w:ascii="Arimo" w:hAnsi="Arimo" w:eastAsia="Arimo"/>
                <w:b w:val="0"/>
                <w:color w:val="303039"/>
                <w:sz w:val="17"/>
              </w:rPr>
              <w:t>Use neutral language. Record the gap, affected document area, business consequence, and next evidence requested. Do not write conclusions about wrongdoing without formal review and supporting proof.</w:t>
            </w:r>
          </w:p>
        </w:tc>
      </w:tr>
    </w:tbl>
    <w:p>
      <w:pPr>
        <w:spacing w:after="0"/>
      </w:pPr>
    </w:p>
    <w:tbl>
      <w:tblPr>
        <w:tblW w:type="auto" w:w="0"/>
        <w:jc w:val="center"/>
        <w:tblLayout w:type="fixed"/>
        <w:tblLook w:firstColumn="1" w:firstRow="1" w:lastColumn="0" w:lastRow="0" w:noHBand="0" w:noVBand="1" w:val="04A0"/>
      </w:tblPr>
      <w:tblGrid>
        <w:gridCol w:w="2048"/>
        <w:gridCol w:w="2048"/>
        <w:gridCol w:w="2048"/>
        <w:gridCol w:w="2048"/>
        <w:gridCol w:w="2048"/>
      </w:tblGrid>
      <w:tr>
        <w:tc>
          <w:tcPr>
            <w:tcW w:type="dxa" w:w="1512"/>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Priority band</w:t>
            </w:r>
          </w:p>
        </w:tc>
        <w:tc>
          <w:tcPr>
            <w:tcW w:type="dxa" w:w="3384"/>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Gap / variance observed</w:t>
            </w:r>
          </w:p>
        </w:tc>
        <w:tc>
          <w:tcPr>
            <w:tcW w:type="dxa" w:w="1728"/>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Affected area</w:t>
            </w:r>
          </w:p>
        </w:tc>
        <w:tc>
          <w:tcPr>
            <w:tcW w:type="dxa" w:w="2520"/>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Next evidence requested</w:t>
            </w:r>
          </w:p>
        </w:tc>
        <w:tc>
          <w:tcPr>
            <w:tcW w:type="dxa" w:w="1007"/>
            <w:tcBorders>
              <w:top w:val="single" w:sz="6" w:space="0" w:color="1A1A24"/>
              <w:left w:val="single" w:sz="6" w:space="0" w:color="1A1A24"/>
              <w:bottom w:val="single" w:sz="6" w:space="0" w:color="1A1A24"/>
              <w:right w:val="single" w:sz="6" w:space="0" w:color="1A1A24"/>
            </w:tcBorders>
            <w:tcMar>
              <w:top w:w="80" w:type="dxa"/>
              <w:start w:w="90" w:type="dxa"/>
              <w:bottom w:w="80" w:type="dxa"/>
              <w:end w:w="90" w:type="dxa"/>
            </w:tcMar>
            <w:vAlign w:val="center"/>
            <w:shd w:fill="1A1A24"/>
          </w:tcPr>
          <w:p>
            <w:pPr>
              <w:spacing w:before="0" w:after="0" w:line="240" w:lineRule="auto"/>
            </w:pPr>
            <w:r/>
            <w:r>
              <w:rPr>
                <w:rFonts w:ascii="Arimo" w:hAnsi="Arimo" w:eastAsia="Arimo"/>
                <w:b/>
                <w:color w:val="FFFFFF"/>
                <w:sz w:val="16"/>
              </w:rPr>
              <w:t>Target date</w:t>
            </w:r>
          </w:p>
        </w:tc>
      </w:tr>
      <w:tr>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Critical</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252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007"/>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High</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252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007"/>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Medium</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252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007"/>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r>
        <w:tc>
          <w:tcPr>
            <w:tcW w:type="dxa" w:w="151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FAFAFB"/>
          </w:tcPr>
          <w:p>
            <w:pPr>
              <w:spacing w:before="0" w:after="0" w:line="240" w:lineRule="auto"/>
            </w:pPr>
            <w:r/>
            <w:r>
              <w:rPr>
                <w:rFonts w:ascii="Arimo" w:hAnsi="Arimo" w:eastAsia="Arimo"/>
                <w:b/>
                <w:color w:val="1A1A24"/>
                <w:sz w:val="14"/>
              </w:rPr>
              <w:t>Monitor</w:t>
            </w:r>
          </w:p>
        </w:tc>
        <w:tc>
          <w:tcPr>
            <w:tcW w:type="dxa" w:w="3384"/>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728"/>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252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c>
          <w:tcPr>
            <w:tcW w:type="dxa" w:w="1007"/>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4"/>
              </w:rPr>
            </w:r>
          </w:p>
        </w:tc>
      </w:tr>
    </w:tbl>
    <w:p>
      <w:pPr>
        <w:spacing w:before="240" w:after="100" w:line="240" w:lineRule="auto"/>
      </w:pPr>
      <w:r>
        <w:rPr>
          <w:rFonts w:ascii="Arimo" w:hAnsi="Arimo" w:eastAsia="Arimo"/>
          <w:b/>
          <w:color w:val="1A1A24"/>
          <w:sz w:val="22"/>
        </w:rPr>
        <w:t>8. VANTAGE scan notes</w:t>
      </w:r>
    </w:p>
    <w:tbl>
      <w:tblPr>
        <w:tblW w:type="auto" w:w="0"/>
        <w:jc w:val="center"/>
        <w:tblLayout w:type="fixed"/>
        <w:tblLook w:firstColumn="1" w:firstRow="1" w:lastColumn="0" w:lastRow="0" w:noHBand="0" w:noVBand="1" w:val="04A0"/>
      </w:tblPr>
      <w:tblGrid>
        <w:gridCol w:w="5119"/>
        <w:gridCol w:w="5119"/>
      </w:tblGrid>
      <w:tr>
        <w:tc>
          <w:tcPr>
            <w:tcW w:type="dxa" w:w="273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Overall readiness band</w:t>
            </w:r>
          </w:p>
        </w:tc>
        <w:tc>
          <w:tcPr>
            <w:tcW w:type="dxa" w:w="74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Green  [ ] Amber  [ ] Red  [ ] Not enough evidence</w:t>
            </w:r>
          </w:p>
        </w:tc>
      </w:tr>
      <w:tr>
        <w:tc>
          <w:tcPr>
            <w:tcW w:type="dxa" w:w="273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Top 3 immediate gaps</w:t>
            </w:r>
          </w:p>
        </w:tc>
        <w:tc>
          <w:tcPr>
            <w:tcW w:type="dxa" w:w="74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1.</w:t>
            </w:r>
            <w:r>
              <w:br/>
            </w:r>
            <w:r>
              <w:rPr>
                <w:rFonts w:ascii="Arimo" w:hAnsi="Arimo" w:eastAsia="Arimo"/>
                <w:b w:val="0"/>
                <w:color w:val="303039"/>
                <w:sz w:val="16"/>
              </w:rPr>
              <w:t>2.</w:t>
            </w:r>
            <w:r>
              <w:br/>
            </w:r>
            <w:r>
              <w:rPr>
                <w:rFonts w:ascii="Arimo" w:hAnsi="Arimo" w:eastAsia="Arimo"/>
                <w:b w:val="0"/>
                <w:color w:val="303039"/>
                <w:sz w:val="16"/>
              </w:rPr>
              <w:t>3.</w:t>
            </w:r>
          </w:p>
        </w:tc>
      </w:tr>
      <w:tr>
        <w:tc>
          <w:tcPr>
            <w:tcW w:type="dxa" w:w="273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Documents requested after scan</w:t>
            </w:r>
          </w:p>
        </w:tc>
        <w:tc>
          <w:tcPr>
            <w:tcW w:type="dxa" w:w="74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r>
          </w:p>
        </w:tc>
      </w:tr>
      <w:tr>
        <w:tc>
          <w:tcPr>
            <w:tcW w:type="dxa" w:w="273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Management contact for follow-up</w:t>
            </w:r>
          </w:p>
        </w:tc>
        <w:tc>
          <w:tcPr>
            <w:tcW w:type="dxa" w:w="74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r>
          </w:p>
        </w:tc>
      </w:tr>
      <w:tr>
        <w:tc>
          <w:tcPr>
            <w:tcW w:type="dxa" w:w="273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Suggested paid support package</w:t>
            </w:r>
          </w:p>
        </w:tc>
        <w:tc>
          <w:tcPr>
            <w:tcW w:type="dxa" w:w="74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r>
          </w:p>
        </w:tc>
      </w:tr>
      <w:tr>
        <w:tc>
          <w:tcPr>
            <w:tcW w:type="dxa" w:w="273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6"/>
              </w:rPr>
              <w:t>Quoted proposal needed?</w:t>
            </w:r>
          </w:p>
        </w:tc>
        <w:tc>
          <w:tcPr>
            <w:tcW w:type="dxa" w:w="741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Yes     [ ] No     [ ] Management decision pending</w:t>
            </w:r>
          </w:p>
        </w:tc>
      </w:tr>
    </w:tbl>
    <w:p>
      <w:pPr>
        <w:spacing w:before="240" w:after="100" w:line="240" w:lineRule="auto"/>
      </w:pPr>
      <w:r>
        <w:rPr>
          <w:rFonts w:ascii="Arimo" w:hAnsi="Arimo" w:eastAsia="Arimo"/>
          <w:b/>
          <w:color w:val="1A1A24"/>
          <w:sz w:val="22"/>
        </w:rPr>
        <w:t>9. Recommended next step</w:t>
      </w:r>
    </w:p>
    <w:tbl>
      <w:tblPr>
        <w:tblW w:type="auto" w:w="0"/>
        <w:jc w:val="center"/>
        <w:tblLayout w:type="fixed"/>
        <w:tblLook w:firstColumn="1" w:firstRow="1" w:lastColumn="0" w:lastRow="0" w:noHBand="0" w:noVBand="1" w:val="04A0"/>
      </w:tblPr>
      <w:tblGrid>
        <w:gridCol w:w="5119"/>
        <w:gridCol w:w="5119"/>
      </w:tblGrid>
      <w:tr>
        <w:tc>
          <w:tcPr>
            <w:tcW w:type="dxa" w:w="507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Labour law / HR policy document update sprint</w:t>
            </w:r>
          </w:p>
        </w:tc>
        <w:tc>
          <w:tcPr>
            <w:tcW w:type="dxa" w:w="507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Wage and attendance review</w:t>
            </w:r>
          </w:p>
        </w:tc>
      </w:tr>
      <w:tr>
        <w:tc>
          <w:tcPr>
            <w:tcW w:type="dxa" w:w="507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Worker-file cleanup sprint</w:t>
            </w:r>
          </w:p>
        </w:tc>
        <w:tc>
          <w:tcPr>
            <w:tcW w:type="dxa" w:w="507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RSC / CAP support file preparation</w:t>
            </w:r>
          </w:p>
        </w:tc>
      </w:tr>
      <w:tr>
        <w:tc>
          <w:tcPr>
            <w:tcW w:type="dxa" w:w="507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Subcontractor due-diligence pack</w:t>
            </w:r>
          </w:p>
        </w:tc>
        <w:tc>
          <w:tcPr>
            <w:tcW w:type="dxa" w:w="507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Bond licence reconciliation support</w:t>
            </w:r>
          </w:p>
        </w:tc>
      </w:tr>
      <w:tr>
        <w:tc>
          <w:tcPr>
            <w:tcW w:type="dxa" w:w="507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Monthly compliance documentation maintenance</w:t>
            </w:r>
          </w:p>
        </w:tc>
        <w:tc>
          <w:tcPr>
            <w:tcW w:type="dxa" w:w="5076"/>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6"/>
              </w:rPr>
              <w:t>[ ] Buyer questionnaire response support</w:t>
            </w:r>
          </w:p>
        </w:tc>
      </w:tr>
    </w:tbl>
    <w:p>
      <w:r>
        <w:br w:type="page"/>
      </w:r>
    </w:p>
    <w:p>
      <w:pPr>
        <w:spacing w:before="240" w:after="100" w:line="240" w:lineRule="auto"/>
      </w:pPr>
      <w:r>
        <w:rPr>
          <w:rFonts w:ascii="Arimo" w:hAnsi="Arimo" w:eastAsia="Arimo"/>
          <w:b/>
          <w:color w:val="1A1A24"/>
          <w:sz w:val="22"/>
        </w:rPr>
        <w:t>10. Legal safety, data protection and integrity notice</w:t>
      </w:r>
    </w:p>
    <w:tbl>
      <w:tblPr>
        <w:tblW w:type="auto" w:w="0"/>
        <w:jc w:val="center"/>
        <w:tblLayout w:type="fixed"/>
        <w:tblLook w:firstColumn="1" w:firstRow="1" w:lastColumn="0" w:lastRow="0" w:noHBand="0" w:noVBand="1" w:val="04A0"/>
      </w:tblPr>
      <w:tblGrid>
        <w:gridCol w:w="5119"/>
        <w:gridCol w:w="5119"/>
      </w:tblGrid>
      <w:tr>
        <w:tc>
          <w:tcPr>
            <w:tcW w:type="dxa" w:w="223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5"/>
              </w:rPr>
              <w:t>Scope limit</w:t>
            </w:r>
          </w:p>
        </w:tc>
        <w:tc>
          <w:tcPr>
            <w:tcW w:type="dxa" w:w="792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t>VANTAGE provides document readiness review, gap analysis and remediation-support planning under Keystone Consultancy. This free scan is based only on documents, access and explanations provided by the client. It is for internal management use unless separately reviewed before external sharing.</w:t>
            </w:r>
          </w:p>
        </w:tc>
      </w:tr>
      <w:tr>
        <w:tc>
          <w:tcPr>
            <w:tcW w:type="dxa" w:w="223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5"/>
              </w:rPr>
              <w:t>Structural safety, OSH and legal currency</w:t>
            </w:r>
          </w:p>
        </w:tc>
        <w:tc>
          <w:tcPr>
            <w:tcW w:type="dxa" w:w="792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t>This scan records whether client-provided safety and OSH documents appear available, current and internally consistent. VANTAGE does not perform engineering, fire, electrical, boiler, structural or regulator inspections. Urgent hazards should be escalated to competent professionals and the relevant process. Current law, buyer requirements, RSC/DIFE communications and competent advice must be checked before external use.</w:t>
            </w:r>
          </w:p>
        </w:tc>
      </w:tr>
      <w:tr>
        <w:tc>
          <w:tcPr>
            <w:tcW w:type="dxa" w:w="223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5"/>
              </w:rPr>
              <w:t>Worker anonymity and data protection</w:t>
            </w:r>
          </w:p>
        </w:tc>
        <w:tc>
          <w:tcPr>
            <w:tcW w:type="dxa" w:w="792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t>Worker names, NID numbers, union-sensitive information, grievance identities, bank details and MFS numbers should be masked or excluded from the free scan unless a signed data-control arrangement exists. Any worker-sensitive note should use codes, restricted access and the minimum data needed for the stated purpose.</w:t>
            </w:r>
          </w:p>
        </w:tc>
      </w:tr>
      <w:tr>
        <w:tc>
          <w:tcPr>
            <w:tcW w:type="dxa" w:w="223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5"/>
              </w:rPr>
              <w:t>Data integrity and double-books protection</w:t>
            </w:r>
          </w:p>
        </w:tc>
        <w:tc>
          <w:tcPr>
            <w:tcW w:type="dxa" w:w="792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t>The client must not submit altered, incomplete or parallel records for this scan. If VANTAGE later receives inconsistent payroll, attendance, overtime, production, wage-ledger or corrective-action records, the scan notes may be amended or withdrawn and further work may require a separate data-integrity review.</w:t>
            </w:r>
          </w:p>
        </w:tc>
      </w:tr>
      <w:tr>
        <w:tc>
          <w:tcPr>
            <w:tcW w:type="dxa" w:w="2232"/>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shd w:fill="ECEEF2"/>
          </w:tcPr>
          <w:p>
            <w:pPr>
              <w:spacing w:before="0" w:after="0" w:line="240" w:lineRule="auto"/>
            </w:pPr>
            <w:r/>
            <w:r>
              <w:rPr>
                <w:rFonts w:ascii="Arimo" w:hAnsi="Arimo" w:eastAsia="Arimo"/>
                <w:b/>
                <w:color w:val="1A1A24"/>
                <w:sz w:val="15"/>
              </w:rPr>
              <w:t>No outcome guarantee</w:t>
            </w:r>
          </w:p>
        </w:tc>
        <w:tc>
          <w:tcPr>
            <w:tcW w:type="dxa" w:w="7920"/>
            <w:tcBorders>
              <w:top w:val="single" w:sz="4" w:space="0" w:color="D8DAE0"/>
              <w:left w:val="single" w:sz="4" w:space="0" w:color="D8DAE0"/>
              <w:bottom w:val="single" w:sz="4" w:space="0" w:color="D8DAE0"/>
              <w:right w:val="single" w:sz="4" w:space="0" w:color="D8DAE0"/>
            </w:tcBorders>
            <w:tcMar>
              <w:top w:w="80" w:type="dxa"/>
              <w:start w:w="90" w:type="dxa"/>
              <w:bottom w:w="80" w:type="dxa"/>
              <w:end w:w="90" w:type="dxa"/>
            </w:tcMar>
            <w:vAlign w:val="center"/>
          </w:tcPr>
          <w:p>
            <w:pPr>
              <w:spacing w:before="0" w:after="0" w:line="240" w:lineRule="auto"/>
            </w:pPr>
            <w:r/>
            <w:r>
              <w:rPr>
                <w:rFonts w:ascii="Arimo" w:hAnsi="Arimo" w:eastAsia="Arimo"/>
                <w:b w:val="0"/>
                <w:color w:val="303039"/>
                <w:sz w:val="15"/>
              </w:rPr>
              <w:t>VANTAGE does not guarantee buyer acceptance, regulator acceptance, commercial outcome, corrective-action closure or readiness result. Any management decision remains the client’s responsibility.</w:t>
            </w:r>
          </w:p>
        </w:tc>
      </w:tr>
    </w:tbl>
    <w:p>
      <w:pPr>
        <w:spacing w:before="240" w:after="100" w:line="240" w:lineRule="auto"/>
      </w:pPr>
      <w:r>
        <w:rPr>
          <w:rFonts w:ascii="Arimo" w:hAnsi="Arimo" w:eastAsia="Arimo"/>
          <w:b/>
          <w:color w:val="1A1A24"/>
          <w:sz w:val="22"/>
        </w:rPr>
        <w:t>11. Acknowledgement</w:t>
      </w:r>
    </w:p>
    <w:p>
      <w:pPr>
        <w:spacing w:before="0" w:after="160" w:line="252" w:lineRule="auto"/>
      </w:pPr>
      <w:r>
        <w:rPr>
          <w:rFonts w:ascii="Arimo" w:hAnsi="Arimo" w:eastAsia="Arimo"/>
          <w:b w:val="0"/>
          <w:color w:val="303039"/>
          <w:sz w:val="17"/>
        </w:rPr>
        <w:t>Factory management acknowledges that this free scan is a limited readiness intake. VANTAGE will rely on the documents and explanations provided and may request additional evidence before issuing any paid proposal or management summary.</w:t>
      </w:r>
    </w:p>
    <w:tbl>
      <w:tblPr>
        <w:tblW w:type="auto" w:w="0"/>
        <w:jc w:val="center"/>
        <w:tblLayout w:type="fixed"/>
        <w:tblLook w:firstColumn="1" w:firstRow="1" w:lastColumn="0" w:lastRow="0" w:noHBand="0" w:noVBand="1" w:val="04A0"/>
      </w:tblPr>
      <w:tblGrid>
        <w:gridCol w:w="5119"/>
        <w:gridCol w:w="5119"/>
      </w:tblGrid>
      <w:tr>
        <w:tc>
          <w:tcPr>
            <w:tcW w:type="dxa" w:w="5076"/>
            <w:tcBorders>
              <w:top w:val="single" w:sz="0" w:space="0" w:color="FFFFFF"/>
              <w:left w:val="single" w:sz="0" w:space="0" w:color="FFFFFF"/>
              <w:bottom w:val="single" w:sz="0" w:space="0" w:color="FFFFFF"/>
              <w:right w:val="single" w:sz="0" w:space="0" w:color="FFFFFF"/>
            </w:tcBorders>
            <w:tcMar>
              <w:top w:w="100" w:type="dxa"/>
              <w:start w:w="60" w:type="dxa"/>
              <w:bottom w:w="100" w:type="dxa"/>
              <w:end w:w="60" w:type="dxa"/>
            </w:tcMar>
            <w:vAlign w:val="center"/>
          </w:tcPr>
          <w:p>
            <w:pPr>
              <w:spacing w:before="160" w:after="0" w:line="240" w:lineRule="auto"/>
              <w:jc w:val="center"/>
            </w:pPr>
            <w:r>
              <w:rPr>
                <w:rFonts w:ascii="Arimo" w:hAnsi="Arimo" w:eastAsia="Arimo"/>
                <w:b w:val="0"/>
                <w:color w:val="303039"/>
                <w:sz w:val="18"/>
              </w:rPr>
              <w:t>______________________________</w:t>
            </w:r>
            <w:r>
              <w:br/>
            </w:r>
            <w:r>
              <w:rPr>
                <w:rFonts w:ascii="Arimo" w:hAnsi="Arimo" w:eastAsia="Arimo"/>
                <w:b/>
                <w:color w:val="1A1A24"/>
                <w:sz w:val="16"/>
              </w:rPr>
              <w:t>VANTAGE representative</w:t>
            </w:r>
          </w:p>
        </w:tc>
        <w:tc>
          <w:tcPr>
            <w:tcW w:type="dxa" w:w="5076"/>
            <w:tcBorders>
              <w:top w:val="single" w:sz="0" w:space="0" w:color="FFFFFF"/>
              <w:left w:val="single" w:sz="0" w:space="0" w:color="FFFFFF"/>
              <w:bottom w:val="single" w:sz="0" w:space="0" w:color="FFFFFF"/>
              <w:right w:val="single" w:sz="0" w:space="0" w:color="FFFFFF"/>
            </w:tcBorders>
            <w:tcMar>
              <w:top w:w="100" w:type="dxa"/>
              <w:start w:w="60" w:type="dxa"/>
              <w:bottom w:w="100" w:type="dxa"/>
              <w:end w:w="60" w:type="dxa"/>
            </w:tcMar>
            <w:vAlign w:val="center"/>
          </w:tcPr>
          <w:p>
            <w:pPr>
              <w:spacing w:before="160" w:after="0" w:line="240" w:lineRule="auto"/>
              <w:jc w:val="center"/>
            </w:pPr>
            <w:r>
              <w:rPr>
                <w:rFonts w:ascii="Arimo" w:hAnsi="Arimo" w:eastAsia="Arimo"/>
                <w:b w:val="0"/>
                <w:color w:val="303039"/>
                <w:sz w:val="18"/>
              </w:rPr>
              <w:t>______________________________</w:t>
            </w:r>
            <w:r>
              <w:br/>
            </w:r>
            <w:r>
              <w:rPr>
                <w:rFonts w:ascii="Arimo" w:hAnsi="Arimo" w:eastAsia="Arimo"/>
                <w:b/>
                <w:color w:val="1A1A24"/>
                <w:sz w:val="16"/>
              </w:rPr>
              <w:t>Factory representative</w:t>
            </w:r>
          </w:p>
        </w:tc>
      </w:tr>
      <w:tr>
        <w:tc>
          <w:tcPr>
            <w:tcW w:type="dxa" w:w="5076"/>
            <w:tcBorders>
              <w:top w:val="single" w:sz="0" w:space="0" w:color="FFFFFF"/>
              <w:left w:val="single" w:sz="0" w:space="0" w:color="FFFFFF"/>
              <w:bottom w:val="single" w:sz="0" w:space="0" w:color="FFFFFF"/>
              <w:right w:val="single" w:sz="0" w:space="0" w:color="FFFFFF"/>
            </w:tcBorders>
            <w:tcMar>
              <w:top w:w="100" w:type="dxa"/>
              <w:start w:w="60" w:type="dxa"/>
              <w:bottom w:w="100" w:type="dxa"/>
              <w:end w:w="60" w:type="dxa"/>
            </w:tcMar>
            <w:vAlign w:val="center"/>
          </w:tcPr>
          <w:p>
            <w:pPr>
              <w:spacing w:before="0" w:after="0" w:line="240" w:lineRule="auto"/>
            </w:pPr>
            <w:r/>
            <w:r>
              <w:rPr>
                <w:rFonts w:ascii="Arimo" w:hAnsi="Arimo" w:eastAsia="Arimo"/>
                <w:b w:val="0"/>
                <w:color w:val="303039"/>
                <w:sz w:val="16"/>
              </w:rPr>
              <w:t>Name / designation: __________________________</w:t>
            </w:r>
          </w:p>
        </w:tc>
        <w:tc>
          <w:tcPr>
            <w:tcW w:type="dxa" w:w="5076"/>
            <w:tcBorders>
              <w:top w:val="single" w:sz="0" w:space="0" w:color="FFFFFF"/>
              <w:left w:val="single" w:sz="0" w:space="0" w:color="FFFFFF"/>
              <w:bottom w:val="single" w:sz="0" w:space="0" w:color="FFFFFF"/>
              <w:right w:val="single" w:sz="0" w:space="0" w:color="FFFFFF"/>
            </w:tcBorders>
            <w:tcMar>
              <w:top w:w="100" w:type="dxa"/>
              <w:start w:w="60" w:type="dxa"/>
              <w:bottom w:w="100" w:type="dxa"/>
              <w:end w:w="60" w:type="dxa"/>
            </w:tcMar>
            <w:vAlign w:val="center"/>
          </w:tcPr>
          <w:p>
            <w:pPr>
              <w:spacing w:before="0" w:after="0" w:line="240" w:lineRule="auto"/>
            </w:pPr>
            <w:r/>
            <w:r>
              <w:rPr>
                <w:rFonts w:ascii="Arimo" w:hAnsi="Arimo" w:eastAsia="Arimo"/>
                <w:b w:val="0"/>
                <w:color w:val="303039"/>
                <w:sz w:val="16"/>
              </w:rPr>
              <w:t>Name / designation: __________________________</w:t>
            </w:r>
          </w:p>
        </w:tc>
      </w:tr>
      <w:tr>
        <w:tc>
          <w:tcPr>
            <w:tcW w:type="dxa" w:w="5076"/>
            <w:tcBorders>
              <w:top w:val="single" w:sz="0" w:space="0" w:color="FFFFFF"/>
              <w:left w:val="single" w:sz="0" w:space="0" w:color="FFFFFF"/>
              <w:bottom w:val="single" w:sz="0" w:space="0" w:color="FFFFFF"/>
              <w:right w:val="single" w:sz="0" w:space="0" w:color="FFFFFF"/>
            </w:tcBorders>
            <w:tcMar>
              <w:top w:w="100" w:type="dxa"/>
              <w:start w:w="60" w:type="dxa"/>
              <w:bottom w:w="100" w:type="dxa"/>
              <w:end w:w="60" w:type="dxa"/>
            </w:tcMar>
            <w:vAlign w:val="center"/>
          </w:tcPr>
          <w:p>
            <w:pPr>
              <w:spacing w:before="0" w:after="0" w:line="240" w:lineRule="auto"/>
            </w:pPr>
            <w:r/>
            <w:r>
              <w:rPr>
                <w:rFonts w:ascii="Arimo" w:hAnsi="Arimo" w:eastAsia="Arimo"/>
                <w:b w:val="0"/>
                <w:color w:val="303039"/>
                <w:sz w:val="16"/>
              </w:rPr>
              <w:t>Date: __________________________</w:t>
            </w:r>
          </w:p>
        </w:tc>
        <w:tc>
          <w:tcPr>
            <w:tcW w:type="dxa" w:w="5076"/>
            <w:tcBorders>
              <w:top w:val="single" w:sz="0" w:space="0" w:color="FFFFFF"/>
              <w:left w:val="single" w:sz="0" w:space="0" w:color="FFFFFF"/>
              <w:bottom w:val="single" w:sz="0" w:space="0" w:color="FFFFFF"/>
              <w:right w:val="single" w:sz="0" w:space="0" w:color="FFFFFF"/>
            </w:tcBorders>
            <w:tcMar>
              <w:top w:w="100" w:type="dxa"/>
              <w:start w:w="60" w:type="dxa"/>
              <w:bottom w:w="100" w:type="dxa"/>
              <w:end w:w="60" w:type="dxa"/>
            </w:tcMar>
            <w:vAlign w:val="center"/>
          </w:tcPr>
          <w:p>
            <w:pPr>
              <w:spacing w:before="0" w:after="0" w:line="240" w:lineRule="auto"/>
            </w:pPr>
            <w:r/>
            <w:r>
              <w:rPr>
                <w:rFonts w:ascii="Arimo" w:hAnsi="Arimo" w:eastAsia="Arimo"/>
                <w:b w:val="0"/>
                <w:color w:val="303039"/>
                <w:sz w:val="16"/>
              </w:rPr>
              <w:t>Date: __________________________</w:t>
            </w:r>
          </w:p>
        </w:tc>
      </w:tr>
    </w:tbl>
    <w:sectPr w:rsidR="00FC693F" w:rsidRPr="0006063C" w:rsidSect="00034616">
      <w:footerReference w:type="default" r:id="rId9"/>
      <w:pgSz w:w="11909" w:h="16834"/>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mo" w:hAnsi="Arimo" w:eastAsia="Arimo"/>
        <w:b w:val="0"/>
        <w:color w:val="666A73"/>
        <w:sz w:val="15"/>
      </w:rPr>
      <w:t>VANTAGE | See further. Stay protected. | Operated by Keystone Consultancy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mo" w:hAnsi="Arimo" w:eastAsia="Arimo"/>
      <w:color w:val="3030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mo" w:hAnsi="Arimo" w:eastAsia="Arimo"/>
      <w:b/>
      <w:bCs/>
      <w:color w:val="1A1A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mo" w:hAnsi="Arimo" w:eastAsia="Arimo"/>
      <w:b/>
      <w:bCs/>
      <w:color w:val="1A1A2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mo" w:hAnsi="Arimo" w:eastAsia="Arimo"/>
      <w:b/>
      <w:bCs/>
      <w:color w:val="1A1A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VANTAGE Free Factory Gap Scan Form</dc:title>
  <dc:subject>Client intake form for preliminary readiness scan</dc:subject>
  <dc:creator>VANTAGE / Keystone Consultancy</dc:creator>
  <cp:keywords>VANTAGE, Keystone Consultancy, RMG, gap scan, readiness, client intake</cp:keywords>
  <dc:description>Generated for VANTAGE. Folder: 03_SALES_LEAD_CAPTURE. Version: 1.0.</dc:description>
  <cp:lastModifiedBy>VANTAGE / Keystone Consultancy</cp:lastModifiedBy>
  <cp:revision>1</cp:revision>
  <dcterms:created xsi:type="dcterms:W3CDTF">2013-12-23T23:15:00Z</dcterms:created>
  <dcterms:modified xsi:type="dcterms:W3CDTF">2013-12-23T23:15:00Z</dcterms:modified>
  <cp:category/>
</cp:coreProperties>
</file>