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2000250" cy="133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Noto Sans CJK KR" w:cs="Noto Sans CJK KR" w:eastAsia="Noto Sans CJK KR" w:hAnsi="Noto Sans CJK KR"/>
        </w:rPr>
        <w:t xml:space="preserve">      </w:t>
      </w:r>
      <w:r>
        <w:drawing>
          <wp:inline distT="0" distB="0" distL="0" distR="0">
            <wp:extent cx="876300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Noto Sans CJK KR" w:cs="Noto Sans CJK KR" w:eastAsia="Noto Sans CJK KR" w:hAnsi="Noto Sans CJK KR"/>
          <w:b/>
          <w:bCs/>
          <w:color w:val="1B3A8F"/>
          <w:sz w:val="32"/>
          <w:szCs w:val="32"/>
        </w:rPr>
        <w:t xml:space="preserve">Keystone × WeBring</w:t>
      </w:r>
    </w:p>
    <w:p>
      <w:pPr>
        <w:spacing w:after="40"/>
        <w:jc w:val="center"/>
      </w:pPr>
      <w:r>
        <w:rPr>
          <w:rFonts w:ascii="Noto Sans CJK KR" w:cs="Noto Sans CJK KR" w:eastAsia="Noto Sans CJK KR" w:hAnsi="Noto Sans CJK KR"/>
          <w:i/>
          <w:iCs/>
          <w:color w:val="F5A623"/>
          <w:sz w:val="20"/>
          <w:szCs w:val="20"/>
        </w:rPr>
        <w:t xml:space="preserve">파트너십 브리프  ·  Partnership Brief</w:t>
      </w:r>
    </w:p>
    <w:p>
      <w:pPr>
        <w:spacing w:after="40"/>
        <w:jc w:val="center"/>
      </w:pPr>
      <w:r>
        <w:rPr>
          <w:rFonts w:ascii="Noto Sans CJK KR" w:cs="Noto Sans CJK KR" w:eastAsia="Noto Sans CJK KR" w:hAnsi="Noto Sans CJK KR"/>
          <w:color w:val="5B6070"/>
          <w:sz w:val="17"/>
          <w:szCs w:val="17"/>
        </w:rPr>
        <w:t xml:space="preserve">수신: 조미영 대표 (위브링)  ·  To: Ms. Jo Mi-young, CEO, WeBring</w:t>
      </w:r>
    </w:p>
    <w:p>
      <w:pPr>
        <w:pBdr>
          <w:bottom w:val="single" w:color="CCCCCC" w:sz="6" w:space="1"/>
        </w:pBdr>
        <w:spacing w:after="220" w:before="180"/>
      </w:pPr>
      <w:r>
        <w:rPr>
          <w:rFonts w:ascii="Noto Sans CJK KR" w:cs="Noto Sans CJK KR" w:eastAsia="Noto Sans CJK KR" w:hAnsi="Noto Sans CJK KR"/>
        </w:rPr>
        <w:t xml:space="preserve"/>
      </w:r>
    </w:p>
    <w:p>
      <w:pPr>
        <w:pBdr>
          <w:bottom w:val="single" w:color="D5261E" w:sz="8" w:space="4"/>
        </w:pBdr>
        <w:spacing w:after="150" w:before="300"/>
      </w:pPr>
      <w:r>
        <w:rPr>
          <w:rFonts w:ascii="Noto Sans CJK KR" w:cs="Noto Sans CJK KR" w:eastAsia="Noto Sans CJK KR" w:hAnsi="Noto Sans CJK KR"/>
          <w:b/>
          <w:bCs/>
          <w:color w:val="1B3A8F"/>
          <w:sz w:val="27"/>
          <w:szCs w:val="27"/>
        </w:rPr>
        <w:t xml:space="preserve">소개 — 키스톤 에듀케이션</w:t>
      </w:r>
    </w:p>
    <w:p>
      <w:pPr>
        <w:spacing w:after="140"/>
      </w:pP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키스톤 에듀케이션은 방글라데시 학생들을 한국으로 보냅니다. 저희 대표는 한국에서 9년간 생활했으며, 다카가 아닌 가지푸르·나르싱디·마이멘싱에서 — 다른 곳이 놓치는 학생들에게 더 가까이 — 운영하고 있습니다.</w:t>
      </w:r>
    </w:p>
    <w:p>
      <w:pPr>
        <w:spacing w:after="140"/>
      </w:pP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저희는 이곳 학부모들이 가장 두려워하는 단 한 가지, </w:t>
      </w:r>
      <w:r>
        <w:rPr>
          <w:rFonts w:ascii="Noto Sans CJK KR" w:cs="Noto Sans CJK KR" w:eastAsia="Noto Sans CJK KR" w:hAnsi="Noto Sans CJK KR"/>
          <w:b/>
          <w:bCs/>
          <w:color w:val="1A1A1A"/>
          <w:sz w:val="21"/>
          <w:szCs w:val="21"/>
        </w:rPr>
        <w:t xml:space="preserve">비자 확실성(visa security)</w:t>
      </w: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 에 집중합니다.</w:t>
      </w:r>
    </w:p>
    <w:p>
      <w:pPr>
        <w:spacing w:after="110" w:before="200"/>
      </w:pPr>
      <w:r>
        <w:rPr>
          <w:rFonts w:ascii="Noto Sans CJK KR" w:cs="Noto Sans CJK KR" w:eastAsia="Noto Sans CJK KR" w:hAnsi="Noto Sans CJK KR"/>
          <w:b/>
          <w:bCs/>
          <w:color w:val="D5261E"/>
          <w:sz w:val="22"/>
          <w:szCs w:val="22"/>
        </w:rPr>
        <w:t xml:space="preserve">저희가 드리는 것 — 비자가 확보된, 이탈 위험이 낮은 학생 파이프라인</w:t>
      </w:r>
    </w:p>
    <w:p>
      <w:pPr>
        <w:spacing w:after="140"/>
      </w:pP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저희가 위브링에 소개할 학생들은 한국에 도착하기 전에 이미 가장 큰 위험 요소를 통과한 학생들입니다:</w:t>
      </w:r>
    </w:p>
    <w:p>
      <w:pPr>
        <w:spacing w:after="100"/>
        <w:ind w:left="340" w:hanging="230"/>
      </w:pPr>
      <w:r>
        <w:rPr>
          <w:rFonts w:ascii="Noto Sans CJK KR" w:cs="Noto Sans CJK KR" w:eastAsia="Noto Sans CJK KR" w:hAnsi="Noto Sans CJK KR"/>
          <w:b/>
          <w:bCs/>
          <w:color w:val="1B3A8F"/>
          <w:sz w:val="21"/>
          <w:szCs w:val="21"/>
        </w:rPr>
        <w:t xml:space="preserve">•  </w:t>
      </w:r>
      <w:r>
        <w:rPr>
          <w:rFonts w:ascii="Noto Sans CJK KR" w:cs="Noto Sans CJK KR" w:eastAsia="Noto Sans CJK KR" w:hAnsi="Noto Sans CJK KR"/>
          <w:b/>
          <w:bCs/>
          <w:sz w:val="21"/>
          <w:szCs w:val="21"/>
        </w:rPr>
        <w:t xml:space="preserve">지역비자(리저널 비자) 가능 대학만</w:t>
      </w:r>
      <w:r>
        <w:rPr>
          <w:rFonts w:ascii="Noto Sans CJK KR" w:cs="Noto Sans CJK KR" w:eastAsia="Noto Sans CJK KR" w:hAnsi="Noto Sans CJK KR"/>
          <w:sz w:val="21"/>
          <w:szCs w:val="21"/>
        </w:rPr>
        <w:t xml:space="preserve"> — 비자 성공률이 가장 높은 프로그램으로만 안내합니다.</w:t>
      </w:r>
    </w:p>
    <w:p>
      <w:pPr>
        <w:spacing w:after="100"/>
        <w:ind w:left="340" w:hanging="230"/>
      </w:pPr>
      <w:r>
        <w:rPr>
          <w:rFonts w:ascii="Noto Sans CJK KR" w:cs="Noto Sans CJK KR" w:eastAsia="Noto Sans CJK KR" w:hAnsi="Noto Sans CJK KR"/>
          <w:b/>
          <w:bCs/>
          <w:color w:val="1B3A8F"/>
          <w:sz w:val="21"/>
          <w:szCs w:val="21"/>
        </w:rPr>
        <w:t xml:space="preserve">•  </w:t>
      </w:r>
      <w:r>
        <w:rPr>
          <w:rFonts w:ascii="Noto Sans CJK KR" w:cs="Noto Sans CJK KR" w:eastAsia="Noto Sans CJK KR" w:hAnsi="Noto Sans CJK KR"/>
          <w:b/>
          <w:bCs/>
          <w:sz w:val="21"/>
          <w:szCs w:val="21"/>
        </w:rPr>
        <w:t xml:space="preserve">제출 전 서류 감사(오딧)</w:t>
      </w:r>
      <w:r>
        <w:rPr>
          <w:rFonts w:ascii="Noto Sans CJK KR" w:cs="Noto Sans CJK KR" w:eastAsia="Noto Sans CJK KR" w:hAnsi="Noto Sans CJK KR"/>
          <w:sz w:val="21"/>
          <w:szCs w:val="21"/>
        </w:rPr>
        <w:t xml:space="preserve"> — 모든 지원 서류를 기계적으로 무결점 점검하여 한 번에 통과되도록 합니다.</w:t>
      </w:r>
    </w:p>
    <w:p>
      <w:pPr>
        <w:spacing w:after="100"/>
        <w:ind w:left="340" w:hanging="230"/>
      </w:pPr>
      <w:r>
        <w:rPr>
          <w:rFonts w:ascii="Noto Sans CJK KR" w:cs="Noto Sans CJK KR" w:eastAsia="Noto Sans CJK KR" w:hAnsi="Noto Sans CJK KR"/>
          <w:b/>
          <w:bCs/>
          <w:color w:val="1B3A8F"/>
          <w:sz w:val="21"/>
          <w:szCs w:val="21"/>
        </w:rPr>
        <w:t xml:space="preserve">•  </w:t>
      </w:r>
      <w:r>
        <w:rPr>
          <w:rFonts w:ascii="Noto Sans CJK KR" w:cs="Noto Sans CJK KR" w:eastAsia="Noto Sans CJK KR" w:hAnsi="Noto Sans CJK KR"/>
          <w:sz w:val="21"/>
          <w:szCs w:val="21"/>
        </w:rPr>
        <w:t xml:space="preserve">모든 케이스 뒤에 있는 </w:t>
      </w:r>
      <w:r>
        <w:rPr>
          <w:rFonts w:ascii="Noto Sans CJK KR" w:cs="Noto Sans CJK KR" w:eastAsia="Noto Sans CJK KR" w:hAnsi="Noto Sans CJK KR"/>
          <w:b/>
          <w:bCs/>
          <w:sz w:val="21"/>
          <w:szCs w:val="21"/>
        </w:rPr>
        <w:t xml:space="preserve">한국 현지 9년의 경험.</w:t>
      </w:r>
    </w:p>
    <w:p>
      <w:pPr>
        <w:spacing w:after="140"/>
      </w:pP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결과적으로, 저희가 보내는 학생은 위브링의 정착 서비스에 가장 잘 맞는 프로필 — </w:t>
      </w:r>
      <w:r>
        <w:rPr>
          <w:rFonts w:ascii="Noto Sans CJK KR" w:cs="Noto Sans CJK KR" w:eastAsia="Noto Sans CJK KR" w:hAnsi="Noto Sans CJK KR"/>
          <w:b/>
          <w:bCs/>
          <w:color w:val="1A1A1A"/>
          <w:sz w:val="21"/>
          <w:szCs w:val="21"/>
        </w:rPr>
        <w:t xml:space="preserve">비자가 확보되고 이탈 가능성이 낮은</w:t>
      </w: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 학생들입니다.</w:t>
      </w:r>
    </w:p>
    <w:p>
      <w:pPr>
        <w:spacing w:after="110" w:before="200"/>
      </w:pPr>
      <w:r>
        <w:rPr>
          <w:rFonts w:ascii="Noto Sans CJK KR" w:cs="Noto Sans CJK KR" w:eastAsia="Noto Sans CJK KR" w:hAnsi="Noto Sans CJK KR"/>
          <w:b/>
          <w:bCs/>
          <w:color w:val="D5261E"/>
          <w:sz w:val="22"/>
          <w:szCs w:val="22"/>
        </w:rPr>
        <w:t xml:space="preserve">시너지가 있는 지점</w:t>
      </w:r>
    </w:p>
    <w:p>
      <w:pPr>
        <w:spacing w:after="140"/>
      </w:pP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입학 절차는 저희가 처음부터 끝까지 직접 처리합니다. 따라서 진짜 시너지는 지원 단계가 아니라, 위브링의 </w:t>
      </w:r>
      <w:r>
        <w:rPr>
          <w:rFonts w:ascii="Noto Sans CJK KR" w:cs="Noto Sans CJK KR" w:eastAsia="Noto Sans CJK KR" w:hAnsi="Noto Sans CJK KR"/>
          <w:b/>
          <w:bCs/>
          <w:color w:val="1A1A1A"/>
          <w:sz w:val="21"/>
          <w:szCs w:val="21"/>
        </w:rPr>
        <w:t xml:space="preserve">한국 현지 정착 인프라</w:t>
      </w: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 — 주거, 보험, 공항 픽업, 아르바이트·취업 — 에 있습니다. 그것이야말로 저희가 방글라데시에서 만들 수 없는 부분이며, 학부모에게 진정한 "안전한 정착"을 약속하게 해 주는 요소입니다.</w:t>
      </w:r>
    </w:p>
    <w:p>
      <w:pPr>
        <w:spacing w:after="140"/>
      </w:pP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서로 겹치지 않는 두 조각입니다: 저희의 비자 확보 파이프라인, 그리고 위브링의 도착 후 안전망.</w:t>
      </w:r>
    </w:p>
    <w:p>
      <w:pPr>
        <w:spacing w:after="110" w:before="200"/>
      </w:pPr>
      <w:r>
        <w:rPr>
          <w:rFonts w:ascii="Noto Sans CJK KR" w:cs="Noto Sans CJK KR" w:eastAsia="Noto Sans CJK KR" w:hAnsi="Noto Sans CJK KR"/>
          <w:b/>
          <w:bCs/>
          <w:color w:val="D5261E"/>
          <w:sz w:val="22"/>
          <w:szCs w:val="22"/>
        </w:rPr>
        <w:t xml:space="preserve">첫 미팅을 위한 세 가지 질문</w:t>
      </w:r>
    </w:p>
    <w:p>
      <w:pPr>
        <w:spacing w:after="100"/>
        <w:ind w:left="340" w:hanging="230"/>
      </w:pPr>
      <w:r>
        <w:rPr>
          <w:rFonts w:ascii="Noto Sans CJK KR" w:cs="Noto Sans CJK KR" w:eastAsia="Noto Sans CJK KR" w:hAnsi="Noto Sans CJK KR"/>
          <w:b/>
          <w:bCs/>
          <w:color w:val="1B3A8F"/>
          <w:sz w:val="21"/>
          <w:szCs w:val="21"/>
        </w:rPr>
        <w:t xml:space="preserve">•  </w:t>
      </w:r>
      <w:r>
        <w:rPr>
          <w:rFonts w:ascii="Noto Sans CJK KR" w:cs="Noto Sans CJK KR" w:eastAsia="Noto Sans CJK KR" w:hAnsi="Noto Sans CJK KR"/>
          <w:b/>
          <w:bCs/>
          <w:sz w:val="21"/>
          <w:szCs w:val="21"/>
        </w:rPr>
        <w:t xml:space="preserve">수익 구조</w:t>
      </w:r>
      <w:r>
        <w:rPr>
          <w:rFonts w:ascii="Noto Sans CJK KR" w:cs="Noto Sans CJK KR" w:eastAsia="Noto Sans CJK KR" w:hAnsi="Noto Sans CJK KR"/>
          <w:sz w:val="21"/>
          <w:szCs w:val="21"/>
        </w:rPr>
        <w:t xml:space="preserve"> — 양측에 공정한 모델을 설계하기 위해, 위브링은 학생당 정착 수수료, 대학 측 계약, 학생 구독, 아니면 수익 배분 중 어떤 구조인지요?</w:t>
      </w:r>
    </w:p>
    <w:p>
      <w:pPr>
        <w:spacing w:after="100"/>
        <w:ind w:left="340" w:hanging="230"/>
      </w:pPr>
      <w:r>
        <w:rPr>
          <w:rFonts w:ascii="Noto Sans CJK KR" w:cs="Noto Sans CJK KR" w:eastAsia="Noto Sans CJK KR" w:hAnsi="Noto Sans CJK KR"/>
          <w:b/>
          <w:bCs/>
          <w:color w:val="1B3A8F"/>
          <w:sz w:val="21"/>
          <w:szCs w:val="21"/>
        </w:rPr>
        <w:t xml:space="preserve">•  </w:t>
      </w:r>
      <w:r>
        <w:rPr>
          <w:rFonts w:ascii="Noto Sans CJK KR" w:cs="Noto Sans CJK KR" w:eastAsia="Noto Sans CJK KR" w:hAnsi="Noto Sans CJK KR"/>
          <w:b/>
          <w:bCs/>
          <w:sz w:val="21"/>
          <w:szCs w:val="21"/>
        </w:rPr>
        <w:t xml:space="preserve">도착 후 고유 가치</w:t>
      </w:r>
      <w:r>
        <w:rPr>
          <w:rFonts w:ascii="Noto Sans CJK KR" w:cs="Noto Sans CJK KR" w:eastAsia="Noto Sans CJK KR" w:hAnsi="Noto Sans CJK KR"/>
          <w:sz w:val="21"/>
          <w:szCs w:val="21"/>
        </w:rPr>
        <w:t xml:space="preserve"> — 학생 입국 후 위브링이 제공하는, 원격으로는 재현할 수 없는 서비스와 그것이 이탈 위험을 낮추는 방식을 설명 부탁드립니다.</w:t>
      </w:r>
    </w:p>
    <w:p>
      <w:pPr>
        <w:spacing w:after="100"/>
        <w:ind w:left="340" w:hanging="230"/>
      </w:pPr>
      <w:r>
        <w:rPr>
          <w:rFonts w:ascii="Noto Sans CJK KR" w:cs="Noto Sans CJK KR" w:eastAsia="Noto Sans CJK KR" w:hAnsi="Noto Sans CJK KR"/>
          <w:b/>
          <w:bCs/>
          <w:color w:val="1B3A8F"/>
          <w:sz w:val="21"/>
          <w:szCs w:val="21"/>
        </w:rPr>
        <w:t xml:space="preserve">•  </w:t>
      </w:r>
      <w:r>
        <w:rPr>
          <w:rFonts w:ascii="Noto Sans CJK KR" w:cs="Noto Sans CJK KR" w:eastAsia="Noto Sans CJK KR" w:hAnsi="Noto Sans CJK KR"/>
          <w:b/>
          <w:bCs/>
          <w:sz w:val="21"/>
          <w:szCs w:val="21"/>
        </w:rPr>
        <w:t xml:space="preserve">국가 파트너십</w:t>
      </w:r>
      <w:r>
        <w:rPr>
          <w:rFonts w:ascii="Noto Sans CJK KR" w:cs="Noto Sans CJK KR" w:eastAsia="Noto Sans CJK KR" w:hAnsi="Noto Sans CJK KR"/>
          <w:sz w:val="21"/>
          <w:szCs w:val="21"/>
        </w:rPr>
        <w:t xml:space="preserve"> — 인도·베트남을 이미 구축 중이신 만큼, 방글라데시 채널 파트너에게 무엇을 기대하시는지요?</w:t>
      </w:r>
    </w:p>
    <w:p>
      <w:pPr>
        <w:spacing w:after="140"/>
      </w:pP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저희 두 조각이 유난히 잘 맞물린다고 생각합니다. 대화를 기대합니다.</w:t>
      </w:r>
    </w:p>
    <w:p>
      <w:pPr>
        <w:pBdr>
          <w:bottom w:val="single" w:color="CCCCCC" w:sz="6" w:space="1"/>
        </w:pBdr>
        <w:spacing w:after="220" w:before="180"/>
      </w:pPr>
      <w:r>
        <w:rPr>
          <w:rFonts w:ascii="Noto Sans CJK KR" w:cs="Noto Sans CJK KR" w:eastAsia="Noto Sans CJK KR" w:hAnsi="Noto Sans CJK KR"/>
        </w:rPr>
        <w:t xml:space="preserve"/>
      </w:r>
    </w:p>
    <w:p>
      <w:pPr>
        <w:pBdr>
          <w:bottom w:val="single" w:color="D5261E" w:sz="8" w:space="4"/>
        </w:pBdr>
        <w:spacing w:after="150" w:before="300"/>
      </w:pPr>
      <w:r>
        <w:rPr>
          <w:rFonts w:ascii="Noto Sans CJK KR" w:cs="Noto Sans CJK KR" w:eastAsia="Noto Sans CJK KR" w:hAnsi="Noto Sans CJK KR"/>
          <w:b/>
          <w:bCs/>
          <w:color w:val="1B3A8F"/>
          <w:sz w:val="27"/>
          <w:szCs w:val="27"/>
        </w:rPr>
        <w:t xml:space="preserve">About — Keystone Education</w:t>
      </w:r>
    </w:p>
    <w:p>
      <w:pPr>
        <w:spacing w:after="140"/>
      </w:pP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Keystone Education sends students from Bangladesh to Korea. Our founder lived in Korea for </w:t>
      </w:r>
      <w:r>
        <w:rPr>
          <w:rFonts w:ascii="Noto Sans CJK KR" w:cs="Noto Sans CJK KR" w:eastAsia="Noto Sans CJK KR" w:hAnsi="Noto Sans CJK KR"/>
          <w:b/>
          <w:bCs/>
          <w:color w:val="1A1A1A"/>
          <w:sz w:val="21"/>
          <w:szCs w:val="21"/>
        </w:rPr>
        <w:t xml:space="preserve">9 years</w:t>
      </w: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, and we operate from outside Dhaka — in Gazipur, Narsingdi, and Mymensingh — closer to the students others overlook. We focus on the single thing every family here fears most: </w:t>
      </w:r>
      <w:r>
        <w:rPr>
          <w:rFonts w:ascii="Noto Sans CJK KR" w:cs="Noto Sans CJK KR" w:eastAsia="Noto Sans CJK KR" w:hAnsi="Noto Sans CJK KR"/>
          <w:b/>
          <w:bCs/>
          <w:color w:val="1A1A1A"/>
          <w:sz w:val="21"/>
          <w:szCs w:val="21"/>
        </w:rPr>
        <w:t xml:space="preserve">visa security.</w:t>
      </w:r>
    </w:p>
    <w:p>
      <w:pPr>
        <w:spacing w:after="110" w:before="200"/>
      </w:pPr>
      <w:r>
        <w:rPr>
          <w:rFonts w:ascii="Noto Sans CJK KR" w:cs="Noto Sans CJK KR" w:eastAsia="Noto Sans CJK KR" w:hAnsi="Noto Sans CJK KR"/>
          <w:b/>
          <w:bCs/>
          <w:color w:val="D5261E"/>
          <w:sz w:val="22"/>
          <w:szCs w:val="22"/>
        </w:rPr>
        <w:t xml:space="preserve">What we bring you — a visa-secured, low-desertion pipeline</w:t>
      </w:r>
    </w:p>
    <w:p>
      <w:pPr>
        <w:spacing w:after="140"/>
      </w:pP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The students we would introduce to WeBring have already cleared the highest-risk hurdle before they ever land in Korea:</w:t>
      </w:r>
    </w:p>
    <w:p>
      <w:pPr>
        <w:spacing w:after="100"/>
        <w:ind w:left="340" w:hanging="230"/>
      </w:pPr>
      <w:r>
        <w:rPr>
          <w:rFonts w:ascii="Noto Sans CJK KR" w:cs="Noto Sans CJK KR" w:eastAsia="Noto Sans CJK KR" w:hAnsi="Noto Sans CJK KR"/>
          <w:b/>
          <w:bCs/>
          <w:color w:val="1B3A8F"/>
          <w:sz w:val="21"/>
          <w:szCs w:val="21"/>
        </w:rPr>
        <w:t xml:space="preserve">•  </w:t>
      </w:r>
      <w:r>
        <w:rPr>
          <w:rFonts w:ascii="Noto Sans CJK KR" w:cs="Noto Sans CJK KR" w:eastAsia="Noto Sans CJK KR" w:hAnsi="Noto Sans CJK KR"/>
          <w:b/>
          <w:bCs/>
          <w:sz w:val="21"/>
          <w:szCs w:val="21"/>
        </w:rPr>
        <w:t xml:space="preserve">Regional-visa-capable universities only</w:t>
      </w:r>
      <w:r>
        <w:rPr>
          <w:rFonts w:ascii="Noto Sans CJK KR" w:cs="Noto Sans CJK KR" w:eastAsia="Noto Sans CJK KR" w:hAnsi="Noto Sans CJK KR"/>
          <w:sz w:val="21"/>
          <w:szCs w:val="21"/>
        </w:rPr>
        <w:t xml:space="preserve"> — programs with the strongest visa-success profile.</w:t>
      </w:r>
    </w:p>
    <w:p>
      <w:pPr>
        <w:spacing w:after="100"/>
        <w:ind w:left="340" w:hanging="230"/>
      </w:pPr>
      <w:r>
        <w:rPr>
          <w:rFonts w:ascii="Noto Sans CJK KR" w:cs="Noto Sans CJK KR" w:eastAsia="Noto Sans CJK KR" w:hAnsi="Noto Sans CJK KR"/>
          <w:b/>
          <w:bCs/>
          <w:color w:val="1B3A8F"/>
          <w:sz w:val="21"/>
          <w:szCs w:val="21"/>
        </w:rPr>
        <w:t xml:space="preserve">•  </w:t>
      </w:r>
      <w:r>
        <w:rPr>
          <w:rFonts w:ascii="Noto Sans CJK KR" w:cs="Noto Sans CJK KR" w:eastAsia="Noto Sans CJK KR" w:hAnsi="Noto Sans CJK KR"/>
          <w:b/>
          <w:bCs/>
          <w:sz w:val="21"/>
          <w:szCs w:val="21"/>
        </w:rPr>
        <w:t xml:space="preserve">Pre-submission document audit</w:t>
      </w:r>
      <w:r>
        <w:rPr>
          <w:rFonts w:ascii="Noto Sans CJK KR" w:cs="Noto Sans CJK KR" w:eastAsia="Noto Sans CJK KR" w:hAnsi="Noto Sans CJK KR"/>
          <w:sz w:val="21"/>
          <w:szCs w:val="21"/>
        </w:rPr>
        <w:t xml:space="preserve"> — every file machine-checked to zero defects, so it clears on the first pass.</w:t>
      </w:r>
    </w:p>
    <w:p>
      <w:pPr>
        <w:spacing w:after="100"/>
        <w:ind w:left="340" w:hanging="230"/>
      </w:pPr>
      <w:r>
        <w:rPr>
          <w:rFonts w:ascii="Noto Sans CJK KR" w:cs="Noto Sans CJK KR" w:eastAsia="Noto Sans CJK KR" w:hAnsi="Noto Sans CJK KR"/>
          <w:b/>
          <w:bCs/>
          <w:color w:val="1B3A8F"/>
          <w:sz w:val="21"/>
          <w:szCs w:val="21"/>
        </w:rPr>
        <w:t xml:space="preserve">•  </w:t>
      </w:r>
      <w:r>
        <w:rPr>
          <w:rFonts w:ascii="Noto Sans CJK KR" w:cs="Noto Sans CJK KR" w:eastAsia="Noto Sans CJK KR" w:hAnsi="Noto Sans CJK KR"/>
          <w:b/>
          <w:bCs/>
          <w:sz w:val="21"/>
          <w:szCs w:val="21"/>
        </w:rPr>
        <w:t xml:space="preserve">Nine years of on-the-ground Korea experience</w:t>
      </w:r>
      <w:r>
        <w:rPr>
          <w:rFonts w:ascii="Noto Sans CJK KR" w:cs="Noto Sans CJK KR" w:eastAsia="Noto Sans CJK KR" w:hAnsi="Noto Sans CJK KR"/>
          <w:sz w:val="21"/>
          <w:szCs w:val="21"/>
        </w:rPr>
        <w:t xml:space="preserve"> behind every case.</w:t>
      </w:r>
    </w:p>
    <w:p>
      <w:pPr>
        <w:spacing w:after="140"/>
      </w:pP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The result is exactly the profile your settlement services are designed for: students who arrive </w:t>
      </w:r>
      <w:r>
        <w:rPr>
          <w:rFonts w:ascii="Noto Sans CJK KR" w:cs="Noto Sans CJK KR" w:eastAsia="Noto Sans CJK KR" w:hAnsi="Noto Sans CJK KR"/>
          <w:b/>
          <w:bCs/>
          <w:color w:val="1A1A1A"/>
          <w:sz w:val="21"/>
          <w:szCs w:val="21"/>
        </w:rPr>
        <w:t xml:space="preserve">visa-secured and unlikely to drop out.</w:t>
      </w:r>
    </w:p>
    <w:p>
      <w:pPr>
        <w:spacing w:after="110" w:before="200"/>
      </w:pPr>
      <w:r>
        <w:rPr>
          <w:rFonts w:ascii="Noto Sans CJK KR" w:cs="Noto Sans CJK KR" w:eastAsia="Noto Sans CJK KR" w:hAnsi="Noto Sans CJK KR"/>
          <w:b/>
          <w:bCs/>
          <w:color w:val="D5261E"/>
          <w:sz w:val="22"/>
          <w:szCs w:val="22"/>
        </w:rPr>
        <w:t xml:space="preserve">Where we see the fit</w:t>
      </w:r>
    </w:p>
    <w:p>
      <w:pPr>
        <w:spacing w:after="140"/>
      </w:pP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We handle admissions end-to-end ourselves, so the synergy is not the application side — it is your </w:t>
      </w:r>
      <w:r>
        <w:rPr>
          <w:rFonts w:ascii="Noto Sans CJK KR" w:cs="Noto Sans CJK KR" w:eastAsia="Noto Sans CJK KR" w:hAnsi="Noto Sans CJK KR"/>
          <w:b/>
          <w:bCs/>
          <w:color w:val="1A1A1A"/>
          <w:sz w:val="21"/>
          <w:szCs w:val="21"/>
        </w:rPr>
        <w:t xml:space="preserve">on-the-ground settlement infrastructure</w:t>
      </w: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 in Korea: housing, insurance, airport pickup, and part-time work and employment. That is the piece we genuinely cannot build from Bangladesh, and it is what lets us promise families a true </w:t>
      </w:r>
      <w:r>
        <w:rPr>
          <w:rFonts w:ascii="Noto Sans CJK KR" w:cs="Noto Sans CJK KR" w:eastAsia="Noto Sans CJK KR" w:hAnsi="Noto Sans CJK KR"/>
          <w:b/>
          <w:bCs/>
          <w:color w:val="1A1A1A"/>
          <w:sz w:val="21"/>
          <w:szCs w:val="21"/>
        </w:rPr>
        <w:t xml:space="preserve">"safe landing."</w:t>
      </w:r>
    </w:p>
    <w:p>
      <w:pPr>
        <w:spacing w:after="110" w:before="200"/>
      </w:pPr>
      <w:r>
        <w:rPr>
          <w:rFonts w:ascii="Noto Sans CJK KR" w:cs="Noto Sans CJK KR" w:eastAsia="Noto Sans CJK KR" w:hAnsi="Noto Sans CJK KR"/>
          <w:b/>
          <w:bCs/>
          <w:color w:val="D5261E"/>
          <w:sz w:val="22"/>
          <w:szCs w:val="22"/>
        </w:rPr>
        <w:t xml:space="preserve">Three questions for our first call</w:t>
      </w:r>
    </w:p>
    <w:p>
      <w:pPr>
        <w:spacing w:after="100"/>
        <w:ind w:left="340" w:hanging="230"/>
      </w:pPr>
      <w:r>
        <w:rPr>
          <w:rFonts w:ascii="Noto Sans CJK KR" w:cs="Noto Sans CJK KR" w:eastAsia="Noto Sans CJK KR" w:hAnsi="Noto Sans CJK KR"/>
          <w:b/>
          <w:bCs/>
          <w:color w:val="1B3A8F"/>
          <w:sz w:val="21"/>
          <w:szCs w:val="21"/>
        </w:rPr>
        <w:t xml:space="preserve">•  </w:t>
      </w:r>
      <w:r>
        <w:rPr>
          <w:rFonts w:ascii="Noto Sans CJK KR" w:cs="Noto Sans CJK KR" w:eastAsia="Noto Sans CJK KR" w:hAnsi="Noto Sans CJK KR"/>
          <w:b/>
          <w:bCs/>
          <w:sz w:val="21"/>
          <w:szCs w:val="21"/>
        </w:rPr>
        <w:t xml:space="preserve">Commercial model</w:t>
      </w:r>
      <w:r>
        <w:rPr>
          <w:rFonts w:ascii="Noto Sans CJK KR" w:cs="Noto Sans CJK KR" w:eastAsia="Noto Sans CJK KR" w:hAnsi="Noto Sans CJK KR"/>
          <w:sz w:val="21"/>
          <w:szCs w:val="21"/>
        </w:rPr>
        <w:t xml:space="preserve"> — is WeBring structured as a per-student settlement fee, a university-side arrangement, a student subscription, or a revenue share?</w:t>
      </w:r>
    </w:p>
    <w:p>
      <w:pPr>
        <w:spacing w:after="100"/>
        <w:ind w:left="340" w:hanging="230"/>
      </w:pPr>
      <w:r>
        <w:rPr>
          <w:rFonts w:ascii="Noto Sans CJK KR" w:cs="Noto Sans CJK KR" w:eastAsia="Noto Sans CJK KR" w:hAnsi="Noto Sans CJK KR"/>
          <w:b/>
          <w:bCs/>
          <w:color w:val="1B3A8F"/>
          <w:sz w:val="21"/>
          <w:szCs w:val="21"/>
        </w:rPr>
        <w:t xml:space="preserve">•  </w:t>
      </w:r>
      <w:r>
        <w:rPr>
          <w:rFonts w:ascii="Noto Sans CJK KR" w:cs="Noto Sans CJK KR" w:eastAsia="Noto Sans CJK KR" w:hAnsi="Noto Sans CJK KR"/>
          <w:b/>
          <w:bCs/>
          <w:sz w:val="21"/>
          <w:szCs w:val="21"/>
        </w:rPr>
        <w:t xml:space="preserve">Unique post-arrival value</w:t>
      </w:r>
      <w:r>
        <w:rPr>
          <w:rFonts w:ascii="Noto Sans CJK KR" w:cs="Noto Sans CJK KR" w:eastAsia="Noto Sans CJK KR" w:hAnsi="Noto Sans CJK KR"/>
          <w:sz w:val="21"/>
          <w:szCs w:val="21"/>
        </w:rPr>
        <w:t xml:space="preserve"> — what does your side deliver after the student lands that could not be replicated remotely, and how does it lower desertion risk?</w:t>
      </w:r>
    </w:p>
    <w:p>
      <w:pPr>
        <w:spacing w:after="100"/>
        <w:ind w:left="340" w:hanging="230"/>
      </w:pPr>
      <w:r>
        <w:rPr>
          <w:rFonts w:ascii="Noto Sans CJK KR" w:cs="Noto Sans CJK KR" w:eastAsia="Noto Sans CJK KR" w:hAnsi="Noto Sans CJK KR"/>
          <w:b/>
          <w:bCs/>
          <w:color w:val="1B3A8F"/>
          <w:sz w:val="21"/>
          <w:szCs w:val="21"/>
        </w:rPr>
        <w:t xml:space="preserve">•  </w:t>
      </w:r>
      <w:r>
        <w:rPr>
          <w:rFonts w:ascii="Noto Sans CJK KR" w:cs="Noto Sans CJK KR" w:eastAsia="Noto Sans CJK KR" w:hAnsi="Noto Sans CJK KR"/>
          <w:b/>
          <w:bCs/>
          <w:sz w:val="21"/>
          <w:szCs w:val="21"/>
        </w:rPr>
        <w:t xml:space="preserve">Country partnership</w:t>
      </w:r>
      <w:r>
        <w:rPr>
          <w:rFonts w:ascii="Noto Sans CJK KR" w:cs="Noto Sans CJK KR" w:eastAsia="Noto Sans CJK KR" w:hAnsi="Noto Sans CJK KR"/>
          <w:sz w:val="21"/>
          <w:szCs w:val="21"/>
        </w:rPr>
        <w:t xml:space="preserve"> — with India and Vietnam already underway, what do you look for in a Bangladesh channel partner?</w:t>
      </w:r>
    </w:p>
    <w:p>
      <w:pPr>
        <w:spacing w:after="140"/>
      </w:pPr>
      <w:r>
        <w:rPr>
          <w:rFonts w:ascii="Noto Sans CJK KR" w:cs="Noto Sans CJK KR" w:eastAsia="Noto Sans CJK KR" w:hAnsi="Noto Sans CJK KR"/>
          <w:b/>
          <w:bCs/>
          <w:color w:val="1A1A1A"/>
          <w:sz w:val="21"/>
          <w:szCs w:val="21"/>
        </w:rPr>
        <w:t xml:space="preserve">Hasibul Munim</w:t>
      </w: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 — Founder &amp; CEO, Keystone Education Consultancy</w:t>
      </w:r>
    </w:p>
    <w:p>
      <w:pPr>
        <w:spacing w:after="140"/>
      </w:pPr>
      <w:r>
        <w:rPr>
          <w:rFonts w:ascii="Noto Sans CJK KR" w:cs="Noto Sans CJK KR" w:eastAsia="Noto Sans CJK KR" w:hAnsi="Noto Sans CJK KR"/>
          <w:color w:val="1A1A1A"/>
          <w:sz w:val="21"/>
          <w:szCs w:val="21"/>
        </w:rPr>
        <w:t xml:space="preserve">Phone: +880 1941646278   |   Email: munimm247@gmail.com   |   Web: www.keystoneeducations.com</w:t>
      </w:r>
    </w:p>
    <w:sectPr>
      <w:pgSz w:w="12240" w:h="15840" w:orient="portrait"/>
      <w:pgMar w:top="1200" w:right="1600" w:bottom="1200" w:left="1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KR" w:cs="Noto Sans CJK KR" w:eastAsia="Noto Sans CJK KR" w:hAnsi="Noto Sans CJK KR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e4fc68d82e5a2527b41f8d9dd5ee48a20a96173.png"/><Relationship Id="rId8" Type="http://schemas.openxmlformats.org/officeDocument/2006/relationships/image" Target="media/fabdb0e1122a04d190530521637c7d0b5a2bcea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2026-07-20T02:42:23.900Z</dcterms:created>
  <dcterms:modified xsi:type="dcterms:W3CDTF">2026-07-20T02:42:23.901Z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