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Bengali" w:cs="Noto Sans Bengali" w:eastAsia="Noto Sans Bengali" w:hAnsi="Noto Sans Bengali"/>
          <w:b/>
          <w:bCs/>
          <w:color w:val="1B3A8F"/>
          <w:sz w:val="34"/>
          <w:szCs w:val="34"/>
        </w:rPr>
        <w:t xml:space="preserve">Keystone × WeBring</w:t>
      </w:r>
    </w:p>
    <w:p>
      <w:pPr>
        <w:spacing w:after="180"/>
        <w:jc w:val="center"/>
      </w:pPr>
      <w:r>
        <w:rPr>
          <w:rFonts w:ascii="Noto Sans Bengali" w:cs="Noto Sans Bengali" w:eastAsia="Noto Sans Bengali" w:hAnsi="Noto Sans Bengali"/>
          <w:i/>
          <w:iCs/>
          <w:color w:val="D5261E"/>
          <w:sz w:val="22"/>
          <w:szCs w:val="22"/>
        </w:rPr>
        <w:t xml:space="preserve">Partnership Brief · Bangladesh → Korea</w:t>
      </w:r>
    </w:p>
    <w:p>
      <w:pPr>
        <w:pBdr>
          <w:bottom w:val="single" w:color="CCCCCC" w:sz="6" w:space="1"/>
        </w:pBdr>
        <w:spacing w:after="200" w:before="14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bottom w:val="single" w:color="D5261E" w:sz="8" w:space="4"/>
        </w:pBdr>
        <w:spacing w:after="170" w:before="360"/>
      </w:pPr>
      <w:r>
        <w:rPr>
          <w:rFonts w:ascii="Noto Sans Bengali" w:cs="Noto Sans Bengali" w:eastAsia="Noto Sans Bengali" w:hAnsi="Noto Sans Bengali"/>
          <w:b/>
          <w:bCs/>
          <w:color w:val="1B3A8F"/>
          <w:sz w:val="28"/>
          <w:szCs w:val="28"/>
        </w:rPr>
        <w:t xml:space="preserve">Who we are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Keystone Education sends students from Bangladesh to Korea. Our founder lived in Korea for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9 years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, and we operate from outside Dhaka — in Gazipur, Narsingdi, and Mymensingh — closer to the students others overlook.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We focus on the single thing every family here fears most: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visa security.</w:t>
      </w:r>
    </w:p>
    <w:p>
      <w:pPr>
        <w:pBdr>
          <w:bottom w:val="single" w:color="D5261E" w:sz="8" w:space="4"/>
        </w:pBdr>
        <w:spacing w:after="170" w:before="360"/>
      </w:pPr>
      <w:r>
        <w:rPr>
          <w:rFonts w:ascii="Noto Sans Bengali" w:cs="Noto Sans Bengali" w:eastAsia="Noto Sans Bengali" w:hAnsi="Noto Sans Bengali"/>
          <w:b/>
          <w:bCs/>
          <w:color w:val="1B3A8F"/>
          <w:sz w:val="28"/>
          <w:szCs w:val="28"/>
        </w:rPr>
        <w:t xml:space="preserve">What we bring you — a visa-secured, low-desertion pipeline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The students we would introduce to WeBring have already cleared the highest-risk hurdle before they ever land in Korea, because our model is built around it:</w:t>
      </w:r>
    </w:p>
    <w:p>
      <w:pPr>
        <w:spacing w:after="120"/>
        <w:ind w:left="360" w:hanging="240"/>
      </w:pPr>
      <w:r>
        <w:rPr>
          <w:rFonts w:ascii="Noto Sans Bengali" w:cs="Noto Sans Bengali" w:eastAsia="Noto Sans Bengali" w:hAnsi="Noto Sans Bengali"/>
          <w:b/>
          <w:bCs/>
          <w:color w:val="1B3A8F"/>
          <w:sz w:val="22"/>
          <w:szCs w:val="22"/>
        </w:rPr>
        <w:t xml:space="preserve">•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Regional-visa-capable universities only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we steer students to programs with the strongest visa-success profile.</w:t>
      </w:r>
    </w:p>
    <w:p>
      <w:pPr>
        <w:spacing w:after="120"/>
        <w:ind w:left="360" w:hanging="240"/>
      </w:pPr>
      <w:r>
        <w:rPr>
          <w:rFonts w:ascii="Noto Sans Bengali" w:cs="Noto Sans Bengali" w:eastAsia="Noto Sans Bengali" w:hAnsi="Noto Sans Bengali"/>
          <w:b/>
          <w:bCs/>
          <w:color w:val="1B3A8F"/>
          <w:sz w:val="22"/>
          <w:szCs w:val="22"/>
        </w:rPr>
        <w:t xml:space="preserve">•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Pre-submission document audit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— every application file is machine-checked to zero defects before it is submitted, so it clears on the first pass.</w:t>
      </w:r>
    </w:p>
    <w:p>
      <w:pPr>
        <w:spacing w:after="120"/>
        <w:ind w:left="360" w:hanging="240"/>
      </w:pPr>
      <w:r>
        <w:rPr>
          <w:rFonts w:ascii="Noto Sans Bengali" w:cs="Noto Sans Bengali" w:eastAsia="Noto Sans Bengali" w:hAnsi="Noto Sans Bengali"/>
          <w:b/>
          <w:bCs/>
          <w:color w:val="1B3A8F"/>
          <w:sz w:val="22"/>
          <w:szCs w:val="22"/>
        </w:rPr>
        <w:t xml:space="preserve">•  </w:t>
      </w:r>
      <w:r>
        <w:rPr>
          <w:rFonts w:ascii="Noto Sans Bengali" w:cs="Noto Sans Bengali" w:eastAsia="Noto Sans Bengali" w:hAnsi="Noto Sans Bengali"/>
          <w:b/>
          <w:bCs/>
          <w:sz w:val="22"/>
          <w:szCs w:val="22"/>
        </w:rPr>
        <w:t xml:space="preserve">Nine years of on-the-ground Korea experience</w:t>
      </w:r>
      <w:r>
        <w:rPr>
          <w:rFonts w:ascii="Noto Sans Bengali" w:cs="Noto Sans Bengali" w:eastAsia="Noto Sans Bengali" w:hAnsi="Noto Sans Bengali"/>
          <w:sz w:val="22"/>
          <w:szCs w:val="22"/>
        </w:rPr>
        <w:t xml:space="preserve"> behind every case.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The result is exactly the profile your settlement services are designed for: students who arrive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visa-secured and unlikely to drop out.</w:t>
      </w:r>
    </w:p>
    <w:p>
      <w:pPr>
        <w:pBdr>
          <w:bottom w:val="single" w:color="D5261E" w:sz="8" w:space="4"/>
        </w:pBdr>
        <w:spacing w:after="170" w:before="360"/>
      </w:pPr>
      <w:r>
        <w:rPr>
          <w:rFonts w:ascii="Noto Sans Bengali" w:cs="Noto Sans Bengali" w:eastAsia="Noto Sans Bengali" w:hAnsi="Noto Sans Bengali"/>
          <w:b/>
          <w:bCs/>
          <w:color w:val="1B3A8F"/>
          <w:sz w:val="28"/>
          <w:szCs w:val="28"/>
        </w:rPr>
        <w:t xml:space="preserve">Where we see the fit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We handle admissions end-to-end ourselves, so the synergy is not the application side — it is your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on-the-ground settlement infrastructure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in Korea: housing, insurance, airport pickup, and part-time work and employment. That is the piece we genuinely cannot build from Bangladesh, and it is what lets us promise families a true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"safe landing."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Two non-overlapping halves: our visa-secured funnel, your post-arrival safety net.</w:t>
      </w:r>
    </w:p>
    <w:p>
      <w:pPr>
        <w:pBdr>
          <w:bottom w:val="single" w:color="D5261E" w:sz="8" w:space="4"/>
        </w:pBdr>
        <w:spacing w:after="170" w:before="360"/>
      </w:pPr>
      <w:r>
        <w:rPr>
          <w:rFonts w:ascii="Noto Sans Bengali" w:cs="Noto Sans Bengali" w:eastAsia="Noto Sans Bengali" w:hAnsi="Noto Sans Bengali"/>
          <w:b/>
          <w:bCs/>
          <w:color w:val="1B3A8F"/>
          <w:sz w:val="28"/>
          <w:szCs w:val="28"/>
        </w:rPr>
        <w:t xml:space="preserve">To make our first call concrete, three questions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1.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Commercial model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— so we can design something fair on both sides, is WeBring structured as a per-student settlement fee, a university-side arrangement, a student subscription, or a revenue share?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2.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Unique post-arrival value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— what does your side deliver after the student lands that could not be replicated remotely, and how does it lower desertion risk?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3. </w:t>
      </w: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Country partnership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— with India and Vietnam already underway, what do you look for in a Bangladesh channel partner?</w:t>
      </w:r>
    </w:p>
    <w:p>
      <w:pPr>
        <w:pBdr>
          <w:bottom w:val="single" w:color="CCCCCC" w:sz="6" w:space="1"/>
        </w:pBdr>
        <w:spacing w:after="200" w:before="14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We think our two halves fit together unusually well. Looking forward to the conversation.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b/>
          <w:bCs/>
          <w:color w:val="1A1A1A"/>
          <w:sz w:val="22"/>
          <w:szCs w:val="22"/>
        </w:rPr>
        <w:t xml:space="preserve">Hasibul Munim</w:t>
      </w: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 — Founder &amp; CEO, Keystone Education Consultancy</w:t>
      </w:r>
    </w:p>
    <w:p>
      <w:pPr>
        <w:spacing w:after="150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Phone: +880 1941646278   |   Email: munimm247@gmail.com   |   Web: www.keystoneeducations.com</w:t>
      </w:r>
    </w:p>
    <w:sectPr>
      <w:pgSz w:w="12240" w:h="15840" w:orient="portrait"/>
      <w:pgMar w:top="1300" w:right="1700" w:bottom="13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Bengali" w:cs="Noto Sans Bengali" w:eastAsia="Noto Sans Bengali" w:hAnsi="Noto Sans Bengal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4fc68d82e5a2527b41f8d9dd5ee48a20a9617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2026-07-20T02:38:00.517Z</dcterms:created>
  <dcterms:modified xsi:type="dcterms:W3CDTF">2026-07-20T02:38:00.517Z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