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SOX Workpaper: ITGC-001</w:t>
      </w:r>
    </w:p>
    <w:p>
      <w:pPr>
        <w:pStyle w:val="IntenseQuote"/>
      </w:pPr>
      <w:r>
        <w:t>Control Name: User Access Deprovisioning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Date</w:t>
            </w:r>
          </w:p>
        </w:tc>
        <w:tc>
          <w:tcPr>
            <w:tcW w:type="dxa" w:w="4320"/>
          </w:tcPr>
          <w:p>
            <w:r>
              <w:t>2026-03-09</w:t>
            </w:r>
          </w:p>
        </w:tc>
      </w:tr>
      <w:tr>
        <w:tc>
          <w:tcPr>
            <w:tcW w:type="dxa" w:w="4320"/>
          </w:tcPr>
          <w:p>
            <w:r>
              <w:t>Preparer</w:t>
            </w:r>
          </w:p>
        </w:tc>
        <w:tc>
          <w:tcPr>
            <w:tcW w:type="dxa" w:w="4320"/>
          </w:tcPr>
          <w:p>
            <w:r>
              <w:t>Petual.ai Automated Agent</w:t>
            </w:r>
          </w:p>
        </w:tc>
      </w:tr>
      <w:tr>
        <w:tc>
          <w:tcPr>
            <w:tcW w:type="dxa" w:w="4320"/>
          </w:tcPr>
          <w:p>
            <w:r>
              <w:t>Control Type / Freq</w:t>
            </w:r>
          </w:p>
        </w:tc>
        <w:tc>
          <w:tcPr>
            <w:tcW w:type="dxa" w:w="4320"/>
          </w:tcPr>
          <w:p>
            <w:r>
              <w:t>ITGC / Quarterly</w:t>
            </w:r>
          </w:p>
        </w:tc>
      </w:tr>
    </w:tbl>
    <w:p/>
    <w:p>
      <w:pPr>
        <w:pStyle w:val="Heading1"/>
      </w:pPr>
      <w:r>
        <w:t>Control Description</w:t>
      </w:r>
    </w:p>
    <w:p>
      <w:r>
        <w:t>All terminated employees must have their Active Directory accounts disabled within 24 hours of their termination date.</w:t>
      </w:r>
    </w:p>
    <w:p>
      <w:pPr>
        <w:pStyle w:val="Heading1"/>
      </w:pPr>
      <w:r>
        <w:t>Test Procedure</w:t>
      </w:r>
    </w:p>
    <w:p>
      <w:r>
        <w:t>1. Obtain the HR termination report and Active Directory event logs.</w:t>
        <w:br/>
        <w:t>2. For each terminated employee, check if an AD event 4725 (account disabled) exists. Use lookup_record on the ad_events dataset with EventID=4725 and the matching UserName.</w:t>
        <w:br/>
        <w:t>3. If the AD event does not exist (status is 'not_found'), flag an exception because the account was never disabled. This is critical.</w:t>
        <w:br/>
        <w:t>4. Calculate the time difference between the termination date and the AD event timestamp.</w:t>
        <w:br/>
        <w:t>5. If the time difference is greater than 24 hours, flag an exception.</w:t>
        <w:br/>
        <w:t>6. Otherwise, flag a pass.</w:t>
      </w:r>
    </w:p>
    <w:p>
      <w:pPr>
        <w:pStyle w:val="Heading1"/>
      </w:pPr>
      <w:r>
        <w:t>Results Summary</w:t>
      </w:r>
    </w:p>
    <w:p>
      <w:r>
        <w:t>Total Samples Tested: 10</w:t>
        <w:br/>
        <w:t>Total Exceptions Identified: 2</w:t>
        <w:br/>
        <w:t>Exception Rate: 20.00%</w:t>
      </w:r>
    </w:p>
    <w:p>
      <w:pPr>
        <w:pStyle w:val="Heading1"/>
      </w:pPr>
      <w:r>
        <w:t>Sample Testing Selection &amp; Results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Sample ID</w:t>
            </w:r>
          </w:p>
        </w:tc>
        <w:tc>
          <w:tcPr>
            <w:tcW w:type="dxa" w:w="2160"/>
          </w:tcPr>
          <w:p>
            <w:r>
              <w:t>Identifier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Evidence Citations</w:t>
            </w:r>
          </w:p>
        </w:tc>
      </w:tr>
      <w:tr>
        <w:tc>
          <w:tcPr>
            <w:tcW w:type="dxa" w:w="2160"/>
          </w:tcPr>
          <w:p>
            <w:r>
              <w:t>EMP001</w:t>
            </w:r>
          </w:p>
        </w:tc>
        <w:tc>
          <w:tcPr>
            <w:tcW w:type="dxa" w:w="2160"/>
          </w:tcPr>
          <w:p>
            <w:r>
              <w:t>user.1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EMP002</w:t>
            </w:r>
          </w:p>
        </w:tc>
        <w:tc>
          <w:tcPr>
            <w:tcW w:type="dxa" w:w="2160"/>
          </w:tcPr>
          <w:p>
            <w:r>
              <w:t>user.2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EMP003</w:t>
            </w:r>
          </w:p>
        </w:tc>
        <w:tc>
          <w:tcPr>
            <w:tcW w:type="dxa" w:w="2160"/>
          </w:tcPr>
          <w:p>
            <w:r>
              <w:t>user.3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EMP004</w:t>
            </w:r>
          </w:p>
        </w:tc>
        <w:tc>
          <w:tcPr>
            <w:tcW w:type="dxa" w:w="2160"/>
          </w:tcPr>
          <w:p>
            <w:r>
              <w:t>user.4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EMP005</w:t>
            </w:r>
          </w:p>
        </w:tc>
        <w:tc>
          <w:tcPr>
            <w:tcW w:type="dxa" w:w="2160"/>
          </w:tcPr>
          <w:p>
            <w:r>
              <w:t>user.5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EMP006</w:t>
            </w:r>
          </w:p>
        </w:tc>
        <w:tc>
          <w:tcPr>
            <w:tcW w:type="dxa" w:w="2160"/>
          </w:tcPr>
          <w:p>
            <w:r>
              <w:t>user.6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EMP007</w:t>
            </w:r>
          </w:p>
        </w:tc>
        <w:tc>
          <w:tcPr>
            <w:tcW w:type="dxa" w:w="2160"/>
          </w:tcPr>
          <w:p>
            <w:r>
              <w:t>user.7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EMP008</w:t>
            </w:r>
          </w:p>
        </w:tc>
        <w:tc>
          <w:tcPr>
            <w:tcW w:type="dxa" w:w="2160"/>
          </w:tcPr>
          <w:p>
            <w:r>
              <w:t>user.8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EMP009</w:t>
            </w:r>
          </w:p>
        </w:tc>
        <w:tc>
          <w:tcPr>
            <w:tcW w:type="dxa" w:w="2160"/>
          </w:tcPr>
          <w:p>
            <w:r>
              <w:t>user.9</w:t>
            </w:r>
          </w:p>
        </w:tc>
        <w:tc>
          <w:tcPr>
            <w:tcW w:type="dxa" w:w="2160"/>
          </w:tcPr>
          <w:p>
            <w:r>
              <w:t>EXCEPTION</w:t>
            </w:r>
          </w:p>
        </w:tc>
        <w:tc>
          <w:tcPr>
            <w:tcW w:type="dxa" w:w="2160"/>
          </w:tcPr>
          <w:p>
            <w:r>
              <w:t>workday_terminations.csv: TerminationDate, ad_events.csv: EventID 4725 EventTime</w:t>
            </w:r>
          </w:p>
        </w:tc>
      </w:tr>
      <w:tr>
        <w:tc>
          <w:tcPr>
            <w:tcW w:type="dxa" w:w="2160"/>
          </w:tcPr>
          <w:p>
            <w:r>
              <w:t>EMP010</w:t>
            </w:r>
          </w:p>
        </w:tc>
        <w:tc>
          <w:tcPr>
            <w:tcW w:type="dxa" w:w="2160"/>
          </w:tcPr>
          <w:p>
            <w:r>
              <w:t>user.10</w:t>
            </w:r>
          </w:p>
        </w:tc>
        <w:tc>
          <w:tcPr>
            <w:tcW w:type="dxa" w:w="2160"/>
          </w:tcPr>
          <w:p>
            <w:r>
              <w:t>EXCEPTION</w:t>
            </w:r>
          </w:p>
        </w:tc>
        <w:tc>
          <w:tcPr>
            <w:tcW w:type="dxa" w:w="2160"/>
          </w:tcPr>
          <w:p>
            <w:r>
              <w:t>workday_terminations.csv: TerminationDate, ad_events.csv: No EventID 4725 for user.10</w:t>
            </w:r>
          </w:p>
        </w:tc>
      </w:tr>
    </w:tbl>
    <w:p>
      <w:pPr>
        <w:pStyle w:val="Heading1"/>
      </w:pPr>
      <w:r>
        <w:t>Exception Details</w:t>
      </w:r>
    </w:p>
    <w:p>
      <w:r>
        <w:rPr>
          <w:b/>
        </w:rPr>
        <w:t xml:space="preserve">Sample EMP009 (user.9): </w:t>
      </w:r>
      <w:r>
        <w:t>AD disable event (4725) at 2026-03-13 09:00:00 occurred 72.0 hours after termination, exceeding 24-hour threshold.</w:t>
      </w:r>
    </w:p>
    <w:p>
      <w:r>
        <w:rPr>
          <w:i/>
        </w:rPr>
        <w:t xml:space="preserve">Management Response: </w:t>
      </w:r>
      <w:r>
        <w:t>Pending Input</w:t>
      </w:r>
    </w:p>
    <w:p>
      <w:r>
        <w:rPr>
          <w:b/>
        </w:rPr>
        <w:t xml:space="preserve">Sample EMP010 (user.10): </w:t>
      </w:r>
      <w:r>
        <w:t>No AD disable event (EventID 4725) found; lookup returned EventID 4624 at 2026-03-11 14:00:00 (account logon).</w:t>
      </w:r>
    </w:p>
    <w:p>
      <w:r>
        <w:rPr>
          <w:i/>
        </w:rPr>
        <w:t xml:space="preserve">Management Response: </w:t>
      </w:r>
      <w:r>
        <w:t>Pending Input</w:t>
      </w:r>
    </w:p>
    <w:p>
      <w:pPr>
        <w:pStyle w:val="Heading1"/>
      </w:pPr>
      <w:r>
        <w:t>Conclusion</w:t>
      </w:r>
    </w:p>
    <w:p>
      <w:r>
        <w:rPr>
          <w:b/>
        </w:rPr>
        <w:t>Control failed. Of 10 terminated users tested, 2 exceptions were identified: user.9 (disable occurred 72 hours after termination exceeding 24-hour threshold) and user.10 (no disable event 4725 found). Remaining 8 users had AD disable events within 24 hours and passed.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