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SOX Workpaper: BPC-001</w:t>
      </w:r>
    </w:p>
    <w:p>
      <w:pPr>
        <w:pStyle w:val="IntenseQuote"/>
      </w:pPr>
      <w:r>
        <w:t>Control Name: Invoice 3-Way Match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2026-03-11</w:t>
            </w:r>
          </w:p>
        </w:tc>
      </w:tr>
      <w:tr>
        <w:tc>
          <w:tcPr>
            <w:tcW w:type="dxa" w:w="4320"/>
          </w:tcPr>
          <w:p>
            <w:r>
              <w:t>Preparer</w:t>
            </w:r>
          </w:p>
        </w:tc>
        <w:tc>
          <w:tcPr>
            <w:tcW w:type="dxa" w:w="4320"/>
          </w:tcPr>
          <w:p>
            <w:r>
              <w:t>Petual.ai Automated Agent</w:t>
            </w:r>
          </w:p>
        </w:tc>
      </w:tr>
      <w:tr>
        <w:tc>
          <w:tcPr>
            <w:tcW w:type="dxa" w:w="4320"/>
          </w:tcPr>
          <w:p>
            <w:r>
              <w:t>Control Type / Freq</w:t>
            </w:r>
          </w:p>
        </w:tc>
        <w:tc>
          <w:tcPr>
            <w:tcW w:type="dxa" w:w="4320"/>
          </w:tcPr>
          <w:p>
            <w:r>
              <w:t>BPC / Semi-Annual</w:t>
            </w:r>
          </w:p>
        </w:tc>
      </w:tr>
    </w:tbl>
    <w:p/>
    <w:p>
      <w:pPr>
        <w:pStyle w:val="Heading1"/>
      </w:pPr>
      <w:r>
        <w:t>Control Description</w:t>
      </w:r>
    </w:p>
    <w:p>
      <w:r>
        <w:t>All vendor invoices must be approved for payment only when the invoice amount, purchase order amount, and goods receipt quantity × unit price agree within a 1% tolerance. Discrepancies must be flagged before payment is processed.</w:t>
      </w:r>
    </w:p>
    <w:p>
      <w:pPr>
        <w:pStyle w:val="Heading1"/>
      </w:pPr>
      <w:r>
        <w:t>Test Procedure</w:t>
      </w:r>
    </w:p>
    <w:p>
      <w:r>
        <w:t>1. Load data/invoices.csv and data/purchase_orders.csv using load_evidence.</w:t>
        <w:br/>
        <w:t>2. Join the two datasets on PONumber using join_datasets.</w:t>
        <w:br/>
        <w:t>3. For each record, check if a matching PO exists. If join returns null POAmount (no PO found), flag as exception — payment made with no authorized PO.</w:t>
        <w:br/>
        <w:t>4. Calculate the percentage variance between InvoiceAmount and POAmount: abs(InvoiceAmount - POAmount) / POAmount * 100.</w:t>
        <w:br/>
        <w:t>5. Also calculate variance between InvoiceAmount and GoodsReceiptAmount using the same formula.</w:t>
        <w:br/>
        <w:t>6. If either variance exceeds 1.0%, flag as exception with the specific amounts and variance percentage in the finding detail.</w:t>
        <w:br/>
        <w:t>7. Otherwise flag as pass.</w:t>
        <w:br/>
        <w:t>8. Generate workpaper when all samples are evaluated.</w:t>
      </w:r>
    </w:p>
    <w:p>
      <w:pPr>
        <w:pStyle w:val="Heading1"/>
      </w:pPr>
      <w:r>
        <w:t>Results Summary</w:t>
      </w:r>
    </w:p>
    <w:p>
      <w:r>
        <w:t>Total Samples Tested: 10</w:t>
        <w:br/>
        <w:t>Total Exceptions Identified: 2</w:t>
        <w:br/>
        <w:t>Exception Rate: 20.00%</w:t>
      </w:r>
    </w:p>
    <w:p>
      <w:pPr>
        <w:pStyle w:val="Heading1"/>
      </w:pPr>
      <w:r>
        <w:t>Sample Testing Selection &amp;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Sample ID</w:t>
            </w:r>
          </w:p>
        </w:tc>
        <w:tc>
          <w:tcPr>
            <w:tcW w:type="dxa" w:w="2160"/>
          </w:tcPr>
          <w:p>
            <w:r>
              <w:t>Identifier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Evidence Citations</w:t>
            </w:r>
          </w:p>
        </w:tc>
      </w:tr>
      <w:tr>
        <w:tc>
          <w:tcPr>
            <w:tcW w:type="dxa" w:w="2160"/>
          </w:tcPr>
          <w:p>
            <w:r>
              <w:t>INV-001</w:t>
            </w:r>
          </w:p>
        </w:tc>
        <w:tc>
          <w:tcPr>
            <w:tcW w:type="dxa" w:w="2160"/>
          </w:tcPr>
          <w:p>
            <w:r>
              <w:t>PO-2026-001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  <w:tr>
        <w:tc>
          <w:tcPr>
            <w:tcW w:type="dxa" w:w="2160"/>
          </w:tcPr>
          <w:p>
            <w:r>
              <w:t>INV-002</w:t>
            </w:r>
          </w:p>
        </w:tc>
        <w:tc>
          <w:tcPr>
            <w:tcW w:type="dxa" w:w="2160"/>
          </w:tcPr>
          <w:p>
            <w:r>
              <w:t>PO-2026-002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  <w:tr>
        <w:tc>
          <w:tcPr>
            <w:tcW w:type="dxa" w:w="2160"/>
          </w:tcPr>
          <w:p>
            <w:r>
              <w:t>INV-003</w:t>
            </w:r>
          </w:p>
        </w:tc>
        <w:tc>
          <w:tcPr>
            <w:tcW w:type="dxa" w:w="2160"/>
          </w:tcPr>
          <w:p>
            <w:r>
              <w:t>PO-2026-003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  <w:tr>
        <w:tc>
          <w:tcPr>
            <w:tcW w:type="dxa" w:w="2160"/>
          </w:tcPr>
          <w:p>
            <w:r>
              <w:t>INV-004</w:t>
            </w:r>
          </w:p>
        </w:tc>
        <w:tc>
          <w:tcPr>
            <w:tcW w:type="dxa" w:w="2160"/>
          </w:tcPr>
          <w:p>
            <w:r>
              <w:t>PO-2026-004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  <w:tr>
        <w:tc>
          <w:tcPr>
            <w:tcW w:type="dxa" w:w="2160"/>
          </w:tcPr>
          <w:p>
            <w:r>
              <w:t>INV-005</w:t>
            </w:r>
          </w:p>
        </w:tc>
        <w:tc>
          <w:tcPr>
            <w:tcW w:type="dxa" w:w="2160"/>
          </w:tcPr>
          <w:p>
            <w:r>
              <w:t>PO-2026-005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  <w:tr>
        <w:tc>
          <w:tcPr>
            <w:tcW w:type="dxa" w:w="2160"/>
          </w:tcPr>
          <w:p>
            <w:r>
              <w:t>INV-006</w:t>
            </w:r>
          </w:p>
        </w:tc>
        <w:tc>
          <w:tcPr>
            <w:tcW w:type="dxa" w:w="2160"/>
          </w:tcPr>
          <w:p>
            <w:r>
              <w:t>PO-2026-006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  <w:tr>
        <w:tc>
          <w:tcPr>
            <w:tcW w:type="dxa" w:w="2160"/>
          </w:tcPr>
          <w:p>
            <w:r>
              <w:t>INV-007</w:t>
            </w:r>
          </w:p>
        </w:tc>
        <w:tc>
          <w:tcPr>
            <w:tcW w:type="dxa" w:w="2160"/>
          </w:tcPr>
          <w:p>
            <w:r>
              <w:t>PO-2026-007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  <w:tr>
        <w:tc>
          <w:tcPr>
            <w:tcW w:type="dxa" w:w="2160"/>
          </w:tcPr>
          <w:p>
            <w:r>
              <w:t>INV-008</w:t>
            </w:r>
          </w:p>
        </w:tc>
        <w:tc>
          <w:tcPr>
            <w:tcW w:type="dxa" w:w="2160"/>
          </w:tcPr>
          <w:p>
            <w:r>
              <w:t>PO-2026-008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  <w:tr>
        <w:tc>
          <w:tcPr>
            <w:tcW w:type="dxa" w:w="2160"/>
          </w:tcPr>
          <w:p>
            <w:r>
              <w:t>INV-009</w:t>
            </w:r>
          </w:p>
        </w:tc>
        <w:tc>
          <w:tcPr>
            <w:tcW w:type="dxa" w:w="2160"/>
          </w:tcPr>
          <w:p>
            <w:r>
              <w:t>PO-2026-009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  <w:tr>
        <w:tc>
          <w:tcPr>
            <w:tcW w:type="dxa" w:w="2160"/>
          </w:tcPr>
          <w:p>
            <w:r>
              <w:t>INV-010</w:t>
            </w:r>
          </w:p>
        </w:tc>
        <w:tc>
          <w:tcPr>
            <w:tcW w:type="dxa" w:w="2160"/>
          </w:tcPr>
          <w:p>
            <w:r>
              <w:t>PO-2026-010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data/invoices.csv, data/purchase_orders.csv, Control: BPC-001</w:t>
            </w:r>
          </w:p>
        </w:tc>
      </w:tr>
    </w:tbl>
    <w:p>
      <w:pPr>
        <w:pStyle w:val="Heading1"/>
      </w:pPr>
      <w:r>
        <w:t>Exception Details</w:t>
      </w:r>
    </w:p>
    <w:p>
      <w:r>
        <w:rPr>
          <w:b/>
        </w:rPr>
        <w:t xml:space="preserve">Sample INV-008 (PO-2026-008): </w:t>
      </w:r>
      <w:r>
        <w:t>InvoiceAmount 11881.56 vs POAmount 10331.79 =&gt; variance 14.99% (exceeds 1%).</w:t>
      </w:r>
    </w:p>
    <w:p>
      <w:r>
        <w:rPr>
          <w:i/>
        </w:rPr>
        <w:t xml:space="preserve">Management Response: </w:t>
      </w:r>
      <w:r>
        <w:t>Pending Input</w:t>
      </w:r>
    </w:p>
    <w:p>
      <w:r>
        <w:rPr>
          <w:b/>
        </w:rPr>
        <w:t xml:space="preserve">Sample INV-010 (PO-2026-010): </w:t>
      </w:r>
      <w:r>
        <w:t>No matching PO found for PONumber PO-2026-010 — payment made without authorized PO.</w:t>
      </w:r>
    </w:p>
    <w:p>
      <w:r>
        <w:rPr>
          <w:i/>
        </w:rPr>
        <w:t xml:space="preserve">Management Response: </w:t>
      </w:r>
      <w:r>
        <w:t>Pending Input</w:t>
      </w:r>
    </w:p>
    <w:p>
      <w:pPr>
        <w:pStyle w:val="Heading1"/>
      </w:pPr>
      <w:r>
        <w:t>Conclusion</w:t>
      </w:r>
    </w:p>
    <w:p>
      <w:r>
        <w:rPr>
          <w:b/>
        </w:rPr>
        <w:t>Control failed: 2 exceptions identified out of 10 samples (20%). Exceptions include one invoice with &gt;1% variance (INV-008) and one invoice with no matching PO (INV-010).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