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Olá, estudante.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seguir, você dará continuidade ao desenvolvimento da sua solução através dos campos específicos para a resolução dos 3 desafios propostos, lembrando que eles se complementam.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Alexandre Martins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RGM: </w:t>
      </w:r>
      <w:r w:rsidDel="00000000" w:rsidR="00000000" w:rsidRPr="00000000">
        <w:rPr>
          <w:rFonts w:ascii="Arial" w:cs="Arial" w:eastAsia="Arial" w:hAnsi="Arial"/>
          <w:rtl w:val="0"/>
        </w:rPr>
        <w:t xml:space="preserve">38040964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 repositório: https://github.com/muninnlabs/cupcake-pit2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ESTRUTURA DE PASTAS DO DIRETÓRIO GITHUB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pastas do diretório GitHub estão organizados conforme a Figura 1: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5399730" cy="447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1. Estrutura do diretório GitHub do site CupCakes146. 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Codificação: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Tabela a seguir insira as informações referentes ao desenvolvimento do código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front-end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tbl>
      <w:tblPr>
        <w:tblStyle w:val="Table1"/>
        <w:tblW w:w="8641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5805"/>
        <w:tblGridChange w:id="0">
          <w:tblGrid>
            <w:gridCol w:w="2836"/>
            <w:gridCol w:w="58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Linguagem do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Hospedagem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Modo de Codificação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Tradicional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Low-code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No-code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repositório no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com os códigos abertos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da solução em</w:t>
              <w:br w:type="textWrapping"/>
              <w:t xml:space="preserve">funcionamento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vídeo narrado (no mínimo 5 min)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da Solução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Escolha 5 colegas para testar sua aplicação e preencha a tabela a seguir com as informações obtidas:</w:t>
      </w:r>
    </w:p>
    <w:tbl>
      <w:tblPr>
        <w:tblStyle w:val="Table2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</w:t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Laudo de Qualidade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Insira a seguir o laudo de qualidade do sistema, apontando os erros e as correções. Não esqueça de coletar as evidências para inseri-las no laudo:</w:t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Vídeo da Solução atualizada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levantar 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feedbacks</w:t>
      </w:r>
      <w:r w:rsidDel="00000000" w:rsidR="00000000" w:rsidRPr="00000000">
        <w:rPr>
          <w:rFonts w:ascii="Arial" w:cs="Arial" w:eastAsia="Arial" w:hAnsi="Arial"/>
          <w:rtl w:val="0"/>
        </w:rPr>
        <w:t xml:space="preserve"> e executar as correções necessárias e pertinentes, grave um vídeo de até 5 minutos apresentando as modificações realizadas no sistema.</w:t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371"/>
        <w:tblGridChange w:id="0">
          <w:tblGrid>
            <w:gridCol w:w="2263"/>
            <w:gridCol w:w="73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para o vídeo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269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19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7551546" cy="1258591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ogin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