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49BF3">
      <w:pPr>
        <w:spacing w:before="1200" w:after="80"/>
      </w:pPr>
      <w:r>
        <w:rPr>
          <w:b/>
          <w:bCs/>
          <w:color w:val="0A4162"/>
          <w:sz w:val="56"/>
          <w:szCs w:val="56"/>
        </w:rPr>
        <w:t>Solution Handover</w:t>
      </w:r>
    </w:p>
    <w:p w14:paraId="6E1C9AE4">
      <w:pPr>
        <w:spacing w:after="60"/>
      </w:pPr>
      <w:r>
        <w:rPr>
          <w:color w:val="29ABE2"/>
          <w:sz w:val="28"/>
          <w:szCs w:val="28"/>
        </w:rPr>
        <w:t>AI Operations Platform — Multi-Tenant CRM, Contact-Centre &amp; Sales Suite</w:t>
      </w:r>
    </w:p>
    <w:p w14:paraId="465A19DE">
      <w:pPr>
        <w:spacing w:after="400"/>
      </w:pPr>
      <w:r>
        <w:rPr>
          <w:i/>
          <w:iCs/>
          <w:color w:val="6B7280"/>
          <w:sz w:val="22"/>
          <w:szCs w:val="22"/>
        </w:rPr>
        <w:t>Complete record of the solution and all development sessions</w:t>
      </w:r>
    </w:p>
    <w:p w14:paraId="18D7A6CF">
      <w:pPr>
        <w:spacing w:after="40"/>
      </w:pPr>
      <w:r>
        <w:rPr>
          <w:b/>
          <w:bCs/>
          <w:color w:val="333333"/>
          <w:sz w:val="22"/>
          <w:szCs w:val="22"/>
        </w:rPr>
        <w:t>Period covered:  9 June 2026  –  22 June 2026</w:t>
      </w:r>
    </w:p>
    <w:p w14:paraId="640C780A">
      <w:pPr>
        <w:spacing w:after="40"/>
      </w:pPr>
      <w:r>
        <w:rPr>
          <w:color w:val="6B7280"/>
          <w:sz w:val="20"/>
          <w:szCs w:val="20"/>
        </w:rPr>
        <w:t>Document date:  22 June 2026</w:t>
      </w:r>
    </w:p>
    <w:p w14:paraId="78097BC9">
      <w:pPr>
        <w:spacing w:after="40"/>
      </w:pPr>
      <w:r>
        <w:rPr>
          <w:color w:val="6B7280"/>
          <w:sz w:val="18"/>
          <w:szCs w:val="18"/>
        </w:rPr>
        <w:t>Repository:  github.com/munirrazaa/AI-Operations-Platfrom-  (branch: main)</w:t>
      </w:r>
    </w:p>
    <w:p w14:paraId="1631BE1E">
      <w:pPr>
        <w:spacing w:after="40"/>
      </w:pPr>
      <w:r>
        <w:rPr>
          <w:color w:val="6B7280"/>
          <w:sz w:val="18"/>
          <w:szCs w:val="18"/>
        </w:rPr>
        <w:t>Status:  Delivered &amp; tested · 24 database migrations · 21 release commits</w:t>
      </w:r>
    </w:p>
    <w:p w14:paraId="68EE5DF7">
      <w:r>
        <w:br w:type="page"/>
      </w:r>
    </w:p>
    <w:sdt>
      <w:sdtPr>
        <w:rPr>
          <w:rFonts w:ascii="SimSun" w:hAnsi="SimSun" w:eastAsia="SimSun" w:cs="Arial"/>
          <w:color w:val="333333"/>
          <w:sz w:val="21"/>
          <w:szCs w:val="21"/>
        </w:rPr>
        <w:id w:val="629700719"/>
        <w15:color w:val="DBDBDB"/>
        <w:docPartObj>
          <w:docPartGallery w:val="Table of Contents"/>
          <w:docPartUnique/>
        </w:docPartObj>
      </w:sdtPr>
      <w:sdtContent>
        <w:p w14:paraId="64A49AFC">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56D698BF">
          <w:pPr>
            <w:pStyle w:val="19"/>
            <w:tabs>
              <w:tab w:val="right" w:leader="dot" w:pos="9360"/>
            </w:tabs>
          </w:pPr>
          <w:r>
            <w:fldChar w:fldCharType="begin"/>
          </w:r>
          <w:r>
            <w:instrText xml:space="preserve">TOC \o "1-3" \h \u </w:instrText>
          </w:r>
          <w:r>
            <w:fldChar w:fldCharType="separate"/>
          </w:r>
          <w:r>
            <w:fldChar w:fldCharType="begin"/>
          </w:r>
          <w:r>
            <w:instrText xml:space="preserve"> HYPERLINK \l _Toc1962762214 </w:instrText>
          </w:r>
          <w:r>
            <w:fldChar w:fldCharType="separate"/>
          </w:r>
          <w:r>
            <w:t>Contents</w:t>
          </w:r>
          <w:r>
            <w:tab/>
          </w:r>
          <w:r>
            <w:fldChar w:fldCharType="begin"/>
          </w:r>
          <w:r>
            <w:instrText xml:space="preserve"> PAGEREF _Toc1962762214 \h </w:instrText>
          </w:r>
          <w:r>
            <w:fldChar w:fldCharType="separate"/>
          </w:r>
          <w:r>
            <w:t>2</w:t>
          </w:r>
          <w:r>
            <w:fldChar w:fldCharType="end"/>
          </w:r>
          <w:r>
            <w:fldChar w:fldCharType="end"/>
          </w:r>
        </w:p>
        <w:p w14:paraId="36D2170D">
          <w:pPr>
            <w:pStyle w:val="19"/>
            <w:tabs>
              <w:tab w:val="right" w:leader="dot" w:pos="9360"/>
            </w:tabs>
          </w:pPr>
          <w:r>
            <w:fldChar w:fldCharType="begin"/>
          </w:r>
          <w:r>
            <w:instrText xml:space="preserve"> HYPERLINK \l _Toc648229131 </w:instrText>
          </w:r>
          <w:r>
            <w:fldChar w:fldCharType="separate"/>
          </w:r>
          <w:r>
            <w:t>1.  Executive Summary</w:t>
          </w:r>
          <w:r>
            <w:tab/>
          </w:r>
          <w:r>
            <w:fldChar w:fldCharType="begin"/>
          </w:r>
          <w:r>
            <w:instrText xml:space="preserve"> PAGEREF _Toc648229131 \h </w:instrText>
          </w:r>
          <w:r>
            <w:fldChar w:fldCharType="separate"/>
          </w:r>
          <w:r>
            <w:t>3</w:t>
          </w:r>
          <w:r>
            <w:fldChar w:fldCharType="end"/>
          </w:r>
          <w:r>
            <w:fldChar w:fldCharType="end"/>
          </w:r>
        </w:p>
        <w:p w14:paraId="31CB4EA8">
          <w:pPr>
            <w:pStyle w:val="19"/>
            <w:tabs>
              <w:tab w:val="right" w:leader="dot" w:pos="9360"/>
            </w:tabs>
          </w:pPr>
          <w:r>
            <w:fldChar w:fldCharType="begin"/>
          </w:r>
          <w:r>
            <w:instrText xml:space="preserve"> HYPERLINK \l _Toc602463486 </w:instrText>
          </w:r>
          <w:r>
            <w:fldChar w:fldCharType="separate"/>
          </w:r>
          <w:r>
            <w:t>2.  What the Platform Is</w:t>
          </w:r>
          <w:r>
            <w:tab/>
          </w:r>
          <w:r>
            <w:fldChar w:fldCharType="begin"/>
          </w:r>
          <w:r>
            <w:instrText xml:space="preserve"> PAGEREF _Toc602463486 \h </w:instrText>
          </w:r>
          <w:r>
            <w:fldChar w:fldCharType="separate"/>
          </w:r>
          <w:r>
            <w:t>3</w:t>
          </w:r>
          <w:r>
            <w:fldChar w:fldCharType="end"/>
          </w:r>
          <w:r>
            <w:fldChar w:fldCharType="end"/>
          </w:r>
        </w:p>
        <w:p w14:paraId="2D1AADF3">
          <w:pPr>
            <w:pStyle w:val="19"/>
            <w:tabs>
              <w:tab w:val="right" w:leader="dot" w:pos="9360"/>
            </w:tabs>
          </w:pPr>
          <w:r>
            <w:fldChar w:fldCharType="begin"/>
          </w:r>
          <w:r>
            <w:instrText xml:space="preserve"> HYPERLINK \l _Toc218413597 </w:instrText>
          </w:r>
          <w:r>
            <w:fldChar w:fldCharType="separate"/>
          </w:r>
          <w:r>
            <w:t>3.  Architecture &amp; Technology</w:t>
          </w:r>
          <w:r>
            <w:tab/>
          </w:r>
          <w:r>
            <w:fldChar w:fldCharType="begin"/>
          </w:r>
          <w:r>
            <w:instrText xml:space="preserve"> PAGEREF _Toc218413597 \h </w:instrText>
          </w:r>
          <w:r>
            <w:fldChar w:fldCharType="separate"/>
          </w:r>
          <w:r>
            <w:t>3</w:t>
          </w:r>
          <w:r>
            <w:fldChar w:fldCharType="end"/>
          </w:r>
          <w:r>
            <w:fldChar w:fldCharType="end"/>
          </w:r>
        </w:p>
        <w:p w14:paraId="28612E37">
          <w:pPr>
            <w:pStyle w:val="19"/>
            <w:tabs>
              <w:tab w:val="right" w:leader="dot" w:pos="9360"/>
            </w:tabs>
          </w:pPr>
          <w:r>
            <w:fldChar w:fldCharType="begin"/>
          </w:r>
          <w:r>
            <w:instrText xml:space="preserve"> HYPERLINK \l _Toc827772056 </w:instrText>
          </w:r>
          <w:r>
            <w:fldChar w:fldCharType="separate"/>
          </w:r>
          <w:r>
            <w:t>4.  Multi-Tenancy &amp; Security</w:t>
          </w:r>
          <w:r>
            <w:tab/>
          </w:r>
          <w:r>
            <w:fldChar w:fldCharType="begin"/>
          </w:r>
          <w:r>
            <w:instrText xml:space="preserve"> PAGEREF _Toc827772056 \h </w:instrText>
          </w:r>
          <w:r>
            <w:fldChar w:fldCharType="separate"/>
          </w:r>
          <w:r>
            <w:t>4</w:t>
          </w:r>
          <w:r>
            <w:fldChar w:fldCharType="end"/>
          </w:r>
          <w:r>
            <w:fldChar w:fldCharType="end"/>
          </w:r>
        </w:p>
        <w:p w14:paraId="40C0C53C">
          <w:pPr>
            <w:pStyle w:val="19"/>
            <w:tabs>
              <w:tab w:val="right" w:leader="dot" w:pos="9360"/>
            </w:tabs>
          </w:pPr>
          <w:r>
            <w:fldChar w:fldCharType="begin"/>
          </w:r>
          <w:r>
            <w:instrText xml:space="preserve"> HYPERLINK \l _Toc965879926 </w:instrText>
          </w:r>
          <w:r>
            <w:fldChar w:fldCharType="separate"/>
          </w:r>
          <w:r>
            <w:t>5.  Access-Control Model</w:t>
          </w:r>
          <w:r>
            <w:tab/>
          </w:r>
          <w:r>
            <w:fldChar w:fldCharType="begin"/>
          </w:r>
          <w:r>
            <w:instrText xml:space="preserve"> PAGEREF _Toc965879926 \h </w:instrText>
          </w:r>
          <w:r>
            <w:fldChar w:fldCharType="separate"/>
          </w:r>
          <w:r>
            <w:t>4</w:t>
          </w:r>
          <w:r>
            <w:fldChar w:fldCharType="end"/>
          </w:r>
          <w:r>
            <w:fldChar w:fldCharType="end"/>
          </w:r>
        </w:p>
        <w:p w14:paraId="523B7D54">
          <w:pPr>
            <w:pStyle w:val="20"/>
            <w:tabs>
              <w:tab w:val="right" w:leader="dot" w:pos="9360"/>
            </w:tabs>
          </w:pPr>
          <w:r>
            <w:fldChar w:fldCharType="begin"/>
          </w:r>
          <w:r>
            <w:instrText xml:space="preserve"> HYPERLINK \l _Toc715028609 </w:instrText>
          </w:r>
          <w:r>
            <w:fldChar w:fldCharType="separate"/>
          </w:r>
          <w:r>
            <w:t>5.1  Layer 1 — Entitlement (what is licensed)</w:t>
          </w:r>
          <w:r>
            <w:tab/>
          </w:r>
          <w:r>
            <w:fldChar w:fldCharType="begin"/>
          </w:r>
          <w:r>
            <w:instrText xml:space="preserve"> PAGEREF _Toc715028609 \h </w:instrText>
          </w:r>
          <w:r>
            <w:fldChar w:fldCharType="separate"/>
          </w:r>
          <w:r>
            <w:t>4</w:t>
          </w:r>
          <w:r>
            <w:fldChar w:fldCharType="end"/>
          </w:r>
          <w:r>
            <w:fldChar w:fldCharType="end"/>
          </w:r>
        </w:p>
        <w:p w14:paraId="2A38EB09">
          <w:pPr>
            <w:pStyle w:val="20"/>
            <w:tabs>
              <w:tab w:val="right" w:leader="dot" w:pos="9360"/>
            </w:tabs>
          </w:pPr>
          <w:r>
            <w:fldChar w:fldCharType="begin"/>
          </w:r>
          <w:r>
            <w:instrText xml:space="preserve"> HYPERLINK \l _Toc167342851 </w:instrText>
          </w:r>
          <w:r>
            <w:fldChar w:fldCharType="separate"/>
          </w:r>
          <w:r>
            <w:t>5.2  Layer 2 — Roles (who may create / edit / delete)</w:t>
          </w:r>
          <w:r>
            <w:tab/>
          </w:r>
          <w:r>
            <w:fldChar w:fldCharType="begin"/>
          </w:r>
          <w:r>
            <w:instrText xml:space="preserve"> PAGEREF _Toc167342851 \h </w:instrText>
          </w:r>
          <w:r>
            <w:fldChar w:fldCharType="separate"/>
          </w:r>
          <w:r>
            <w:t>4</w:t>
          </w:r>
          <w:r>
            <w:fldChar w:fldCharType="end"/>
          </w:r>
          <w:r>
            <w:fldChar w:fldCharType="end"/>
          </w:r>
        </w:p>
        <w:p w14:paraId="1CFD3C40">
          <w:pPr>
            <w:pStyle w:val="20"/>
            <w:tabs>
              <w:tab w:val="right" w:leader="dot" w:pos="9360"/>
            </w:tabs>
          </w:pPr>
          <w:r>
            <w:fldChar w:fldCharType="begin"/>
          </w:r>
          <w:r>
            <w:instrText xml:space="preserve"> HYPERLINK \l _Toc1475202834 </w:instrText>
          </w:r>
          <w:r>
            <w:fldChar w:fldCharType="separate"/>
          </w:r>
          <w:r>
            <w:t>5.3  Layer 3 — Record visibility (whose work you see)</w:t>
          </w:r>
          <w:r>
            <w:tab/>
          </w:r>
          <w:r>
            <w:fldChar w:fldCharType="begin"/>
          </w:r>
          <w:r>
            <w:instrText xml:space="preserve"> PAGEREF _Toc1475202834 \h </w:instrText>
          </w:r>
          <w:r>
            <w:fldChar w:fldCharType="separate"/>
          </w:r>
          <w:r>
            <w:t>4</w:t>
          </w:r>
          <w:r>
            <w:fldChar w:fldCharType="end"/>
          </w:r>
          <w:r>
            <w:fldChar w:fldCharType="end"/>
          </w:r>
        </w:p>
        <w:p w14:paraId="6A5A35C6">
          <w:pPr>
            <w:pStyle w:val="20"/>
            <w:tabs>
              <w:tab w:val="right" w:leader="dot" w:pos="9360"/>
            </w:tabs>
          </w:pPr>
          <w:r>
            <w:fldChar w:fldCharType="begin"/>
          </w:r>
          <w:r>
            <w:instrText xml:space="preserve"> HYPERLINK \l _Toc1035326423 </w:instrText>
          </w:r>
          <w:r>
            <w:fldChar w:fldCharType="separate"/>
          </w:r>
          <w:r>
            <w:t>5.4  Separation of duties</w:t>
          </w:r>
          <w:r>
            <w:tab/>
          </w:r>
          <w:r>
            <w:fldChar w:fldCharType="begin"/>
          </w:r>
          <w:r>
            <w:instrText xml:space="preserve"> PAGEREF _Toc1035326423 \h </w:instrText>
          </w:r>
          <w:r>
            <w:fldChar w:fldCharType="separate"/>
          </w:r>
          <w:r>
            <w:t>4</w:t>
          </w:r>
          <w:r>
            <w:fldChar w:fldCharType="end"/>
          </w:r>
          <w:r>
            <w:fldChar w:fldCharType="end"/>
          </w:r>
        </w:p>
        <w:p w14:paraId="05C44781">
          <w:pPr>
            <w:pStyle w:val="19"/>
            <w:tabs>
              <w:tab w:val="right" w:leader="dot" w:pos="9360"/>
            </w:tabs>
          </w:pPr>
          <w:r>
            <w:fldChar w:fldCharType="begin"/>
          </w:r>
          <w:r>
            <w:instrText xml:space="preserve"> HYPERLINK \l _Toc1818683367 </w:instrText>
          </w:r>
          <w:r>
            <w:fldChar w:fldCharType="separate"/>
          </w:r>
          <w:r>
            <w:t>6.  Customer Onboarding</w:t>
          </w:r>
          <w:r>
            <w:tab/>
          </w:r>
          <w:r>
            <w:fldChar w:fldCharType="begin"/>
          </w:r>
          <w:r>
            <w:instrText xml:space="preserve"> PAGEREF _Toc1818683367 \h </w:instrText>
          </w:r>
          <w:r>
            <w:fldChar w:fldCharType="separate"/>
          </w:r>
          <w:r>
            <w:t>4</w:t>
          </w:r>
          <w:r>
            <w:fldChar w:fldCharType="end"/>
          </w:r>
          <w:r>
            <w:fldChar w:fldCharType="end"/>
          </w:r>
        </w:p>
        <w:p w14:paraId="08E630E9">
          <w:pPr>
            <w:pStyle w:val="19"/>
            <w:tabs>
              <w:tab w:val="right" w:leader="dot" w:pos="9360"/>
            </w:tabs>
          </w:pPr>
          <w:r>
            <w:fldChar w:fldCharType="begin"/>
          </w:r>
          <w:r>
            <w:instrText xml:space="preserve"> HYPERLINK \l _Toc1476601418 </w:instrText>
          </w:r>
          <w:r>
            <w:fldChar w:fldCharType="separate"/>
          </w:r>
          <w:r>
            <w:t>7.  Operational Flow (Enquiry to Revenue)</w:t>
          </w:r>
          <w:r>
            <w:tab/>
          </w:r>
          <w:r>
            <w:fldChar w:fldCharType="begin"/>
          </w:r>
          <w:r>
            <w:instrText xml:space="preserve"> PAGEREF _Toc1476601418 \h </w:instrText>
          </w:r>
          <w:r>
            <w:fldChar w:fldCharType="separate"/>
          </w:r>
          <w:r>
            <w:t>5</w:t>
          </w:r>
          <w:r>
            <w:fldChar w:fldCharType="end"/>
          </w:r>
          <w:r>
            <w:fldChar w:fldCharType="end"/>
          </w:r>
        </w:p>
        <w:p w14:paraId="07A2FCAF">
          <w:pPr>
            <w:pStyle w:val="19"/>
            <w:tabs>
              <w:tab w:val="right" w:leader="dot" w:pos="9360"/>
            </w:tabs>
          </w:pPr>
          <w:r>
            <w:fldChar w:fldCharType="begin"/>
          </w:r>
          <w:r>
            <w:instrText xml:space="preserve"> HYPERLINK \l _Toc919007594 </w:instrText>
          </w:r>
          <w:r>
            <w:fldChar w:fldCharType="separate"/>
          </w:r>
          <w:r>
            <w:t>8.  Development Timeline (All Sessions)</w:t>
          </w:r>
          <w:r>
            <w:tab/>
          </w:r>
          <w:r>
            <w:fldChar w:fldCharType="begin"/>
          </w:r>
          <w:r>
            <w:instrText xml:space="preserve"> PAGEREF _Toc919007594 \h </w:instrText>
          </w:r>
          <w:r>
            <w:fldChar w:fldCharType="separate"/>
          </w:r>
          <w:r>
            <w:t>5</w:t>
          </w:r>
          <w:r>
            <w:fldChar w:fldCharType="end"/>
          </w:r>
          <w:r>
            <w:fldChar w:fldCharType="end"/>
          </w:r>
        </w:p>
        <w:p w14:paraId="1822B8A4">
          <w:pPr>
            <w:pStyle w:val="19"/>
            <w:tabs>
              <w:tab w:val="right" w:leader="dot" w:pos="9360"/>
            </w:tabs>
          </w:pPr>
          <w:r>
            <w:fldChar w:fldCharType="begin"/>
          </w:r>
          <w:r>
            <w:instrText xml:space="preserve"> HYPERLINK \l _Toc1058243134 </w:instrText>
          </w:r>
          <w:r>
            <w:fldChar w:fldCharType="separate"/>
          </w:r>
          <w:r>
            <w:t>9.  Data Model — 24 Migrations</w:t>
          </w:r>
          <w:r>
            <w:tab/>
          </w:r>
          <w:r>
            <w:fldChar w:fldCharType="begin"/>
          </w:r>
          <w:r>
            <w:instrText xml:space="preserve"> PAGEREF _Toc1058243134 \h </w:instrText>
          </w:r>
          <w:r>
            <w:fldChar w:fldCharType="separate"/>
          </w:r>
          <w:r>
            <w:t>5</w:t>
          </w:r>
          <w:r>
            <w:fldChar w:fldCharType="end"/>
          </w:r>
          <w:r>
            <w:fldChar w:fldCharType="end"/>
          </w:r>
        </w:p>
        <w:p w14:paraId="061784F2">
          <w:pPr>
            <w:pStyle w:val="19"/>
            <w:tabs>
              <w:tab w:val="right" w:leader="dot" w:pos="9360"/>
            </w:tabs>
          </w:pPr>
          <w:r>
            <w:fldChar w:fldCharType="begin"/>
          </w:r>
          <w:r>
            <w:instrText xml:space="preserve"> HYPERLINK \l _Toc432788684 </w:instrText>
          </w:r>
          <w:r>
            <w:fldChar w:fldCharType="separate"/>
          </w:r>
          <w:r>
            <w:t>10.  Current Status &amp; Testing</w:t>
          </w:r>
          <w:r>
            <w:tab/>
          </w:r>
          <w:r>
            <w:fldChar w:fldCharType="begin"/>
          </w:r>
          <w:r>
            <w:instrText xml:space="preserve"> PAGEREF _Toc432788684 \h </w:instrText>
          </w:r>
          <w:r>
            <w:fldChar w:fldCharType="separate"/>
          </w:r>
          <w:r>
            <w:t>5</w:t>
          </w:r>
          <w:r>
            <w:fldChar w:fldCharType="end"/>
          </w:r>
          <w:r>
            <w:fldChar w:fldCharType="end"/>
          </w:r>
        </w:p>
        <w:p w14:paraId="30DA4BEE">
          <w:pPr>
            <w:pStyle w:val="19"/>
            <w:tabs>
              <w:tab w:val="right" w:leader="dot" w:pos="9360"/>
            </w:tabs>
          </w:pPr>
          <w:r>
            <w:fldChar w:fldCharType="begin"/>
          </w:r>
          <w:r>
            <w:instrText xml:space="preserve"> HYPERLINK \l _Toc352299599 </w:instrText>
          </w:r>
          <w:r>
            <w:fldChar w:fldCharType="separate"/>
          </w:r>
          <w:r>
            <w:t>11.  Known Items &amp; Roadmap</w:t>
          </w:r>
          <w:r>
            <w:tab/>
          </w:r>
          <w:r>
            <w:fldChar w:fldCharType="begin"/>
          </w:r>
          <w:r>
            <w:instrText xml:space="preserve"> PAGEREF _Toc352299599 \h </w:instrText>
          </w:r>
          <w:r>
            <w:fldChar w:fldCharType="separate"/>
          </w:r>
          <w:r>
            <w:t>6</w:t>
          </w:r>
          <w:r>
            <w:fldChar w:fldCharType="end"/>
          </w:r>
          <w:r>
            <w:fldChar w:fldCharType="end"/>
          </w:r>
        </w:p>
        <w:p w14:paraId="5FA7E637">
          <w:pPr>
            <w:pStyle w:val="19"/>
            <w:tabs>
              <w:tab w:val="right" w:leader="dot" w:pos="9360"/>
            </w:tabs>
          </w:pPr>
          <w:r>
            <w:fldChar w:fldCharType="begin"/>
          </w:r>
          <w:r>
            <w:instrText xml:space="preserve"> HYPERLINK \l _Toc486945614 </w:instrText>
          </w:r>
          <w:r>
            <w:fldChar w:fldCharType="separate"/>
          </w:r>
          <w:r>
            <w:t>12.  Access &amp; Environment</w:t>
          </w:r>
          <w:r>
            <w:tab/>
          </w:r>
          <w:r>
            <w:fldChar w:fldCharType="begin"/>
          </w:r>
          <w:r>
            <w:instrText xml:space="preserve"> PAGEREF _Toc486945614 \h </w:instrText>
          </w:r>
          <w:r>
            <w:fldChar w:fldCharType="separate"/>
          </w:r>
          <w:r>
            <w:t>6</w:t>
          </w:r>
          <w:r>
            <w:fldChar w:fldCharType="end"/>
          </w:r>
          <w:r>
            <w:fldChar w:fldCharType="end"/>
          </w:r>
        </w:p>
        <w:p w14:paraId="59286FAB">
          <w:r>
            <w:fldChar w:fldCharType="end"/>
          </w:r>
        </w:p>
      </w:sdtContent>
    </w:sdt>
    <w:sdt>
      <w:sdtPr>
        <w:alias w:val="Contents"/>
        <w:id w:val="630406613"/>
      </w:sdtPr>
      <w:sdtContent>
        <w:p w14:paraId="14A0FC89">
          <w:bookmarkStart w:id="16" w:name="_GoBack"/>
          <w:bookmarkEnd w:id="16"/>
          <w:r>
            <w:fldChar w:fldCharType="begin"/>
          </w:r>
          <w:r>
            <w:instrText xml:space="preserve">TOC \h \o "1-2"</w:instrText>
          </w:r>
          <w:r>
            <w:fldChar w:fldCharType="separate"/>
          </w:r>
        </w:p>
        <w:p w14:paraId="33C65183">
          <w:r>
            <w:fldChar w:fldCharType="end"/>
          </w:r>
        </w:p>
      </w:sdtContent>
    </w:sdt>
    <w:p w14:paraId="74D2CB1F">
      <w:r>
        <w:br w:type="page"/>
      </w:r>
    </w:p>
    <w:p w14:paraId="5330A97A">
      <w:pPr>
        <w:pStyle w:val="2"/>
      </w:pPr>
      <w:bookmarkStart w:id="0" w:name="_Toc648229131"/>
      <w:r>
        <w:t>1.  Executive Summary</w:t>
      </w:r>
      <w:bookmarkEnd w:id="0"/>
    </w:p>
    <w:p w14:paraId="267D9606">
      <w:pPr>
        <w:spacing w:after="120"/>
      </w:pPr>
      <w:r>
        <w:t>The AI Operations Platform is a multi-tenant Software-as-a-Service suite that lets a provider host many separate customer organisations ("tenants") on one system, each fully isolated from the others. Within each tenant it combines a CRM, a customer-service contact centre (including an AI voice agent), a sales-and-invoicing module, analytics, and team collaboration.</w:t>
      </w:r>
    </w:p>
    <w:p w14:paraId="4ECEACA7">
      <w:pPr>
        <w:spacing w:after="120"/>
      </w:pPr>
      <w:r>
        <w:t>Between 9 and 22 June 2026 the platform progressed from an initial build to a tested, access-controlled solution. Headline outcomes:</w:t>
      </w:r>
    </w:p>
    <w:p w14:paraId="0B19FB86">
      <w:pPr>
        <w:pStyle w:val="16"/>
        <w:numPr>
          <w:ilvl w:val="0"/>
          <w:numId w:val="1"/>
        </w:numPr>
        <w:spacing w:after="50"/>
      </w:pPr>
      <w:r>
        <w:t>A complete CRM + contact-centre + sales suite with a licensing model that lets the provider sell each module and feature separately.</w:t>
      </w:r>
    </w:p>
    <w:p w14:paraId="0FB5620F">
      <w:pPr>
        <w:pStyle w:val="16"/>
        <w:numPr>
          <w:ilvl w:val="0"/>
          <w:numId w:val="1"/>
        </w:numPr>
        <w:spacing w:after="50"/>
      </w:pPr>
      <w:r>
        <w:t>A three-layer access-control model (what is licensed → who may act → whose records they see), plus a clean separation of duties for administrators.</w:t>
      </w:r>
    </w:p>
    <w:p w14:paraId="3D1E8FDB">
      <w:pPr>
        <w:pStyle w:val="16"/>
        <w:numPr>
          <w:ilvl w:val="0"/>
          <w:numId w:val="1"/>
        </w:numPr>
        <w:spacing w:after="50"/>
      </w:pPr>
      <w:r>
        <w:t>An end-to-end "enquiry-to-revenue" flow: a customer call becomes a service ticket or a sales deal, routed, worked, resolved, and confirmed.</w:t>
      </w:r>
    </w:p>
    <w:p w14:paraId="12979C17">
      <w:pPr>
        <w:pStyle w:val="16"/>
        <w:numPr>
          <w:ilvl w:val="0"/>
          <w:numId w:val="1"/>
        </w:numPr>
        <w:spacing w:after="50"/>
      </w:pPr>
      <w:r>
        <w:t>A hardened, tested codebase — 201 automated tests, 24 database migrations, and verified access rules.</w:t>
      </w:r>
    </w:p>
    <w:p w14:paraId="523FC5F8">
      <w:pPr>
        <w:pStyle w:val="2"/>
      </w:pPr>
      <w:bookmarkStart w:id="1" w:name="_Toc602463486"/>
      <w:r>
        <w:t>2.  What the Platform Is</w:t>
      </w:r>
      <w:bookmarkEnd w:id="1"/>
    </w:p>
    <w:p w14:paraId="5FDAC1E0">
      <w:pPr>
        <w:spacing w:after="120"/>
      </w:pPr>
      <w:r>
        <w:t>Each customer organisation gets its own secure workspace. Staff log in and — depending on what the customer has purchased and the role they are given — use some or all of the following: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C1D6E13">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63BFFBF">
            <w:r>
              <w:rPr>
                <w:b/>
                <w:bCs/>
                <w:color w:val="FFFFFF"/>
                <w:sz w:val="18"/>
                <w:szCs w:val="18"/>
              </w:rPr>
              <w:t>Capability</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E0ED9A5">
            <w:r>
              <w:rPr>
                <w:b/>
                <w:bCs/>
                <w:color w:val="FFFFFF"/>
                <w:sz w:val="18"/>
                <w:szCs w:val="18"/>
              </w:rPr>
              <w:t>What it does</w:t>
            </w:r>
          </w:p>
        </w:tc>
      </w:tr>
      <w:tr w14:paraId="5E6EE4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8711721">
            <w:r>
              <w:rPr>
                <w:color w:val="333333"/>
                <w:sz w:val="18"/>
                <w:szCs w:val="18"/>
              </w:rPr>
              <w:t>Core CRM</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F2E217">
            <w:r>
              <w:rPr>
                <w:color w:val="333333"/>
                <w:sz w:val="18"/>
                <w:szCs w:val="18"/>
              </w:rPr>
              <w:t>Contacts, companies, deals/pipeline and activities — the customer record.</w:t>
            </w:r>
          </w:p>
        </w:tc>
      </w:tr>
      <w:tr w14:paraId="1403405A">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6F75141">
            <w:r>
              <w:rPr>
                <w:color w:val="333333"/>
                <w:sz w:val="18"/>
                <w:szCs w:val="18"/>
              </w:rPr>
              <w:t>Contact Centre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8EFAF79">
            <w:r>
              <w:rPr>
                <w:color w:val="333333"/>
                <w:sz w:val="18"/>
                <w:szCs w:val="18"/>
              </w:rPr>
              <w:t>Tickets for complaints, enquiries and sales, with queues, routing, SLA/TAT timers, escalation and customer-satisfaction surveys.</w:t>
            </w:r>
          </w:p>
        </w:tc>
      </w:tr>
      <w:tr w14:paraId="4A3B5D16">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B3CFE55">
            <w:r>
              <w:rPr>
                <w:color w:val="333333"/>
                <w:sz w:val="18"/>
                <w:szCs w:val="18"/>
              </w:rPr>
              <w:t>AI Voice Agent ("Nadia")</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76B60F1">
            <w:r>
              <w:rPr>
                <w:color w:val="333333"/>
                <w:sz w:val="18"/>
                <w:szCs w:val="18"/>
              </w:rPr>
              <w:t>A LiveKit-based voice bot that can take calls, log them and raise tickets automatically.</w:t>
            </w:r>
          </w:p>
        </w:tc>
      </w:tr>
      <w:tr w14:paraId="74E34D3F">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216C691">
            <w:r>
              <w:rPr>
                <w:color w:val="333333"/>
                <w:sz w:val="18"/>
                <w:szCs w:val="18"/>
              </w:rPr>
              <w:t>Sales &amp; Invoicing</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1D60B07">
            <w:r>
              <w:rPr>
                <w:color w:val="333333"/>
                <w:sz w:val="18"/>
                <w:szCs w:val="18"/>
              </w:rPr>
              <w:t>Invoices, billing contacts, payments, templates, a sales dashboard and settings.</w:t>
            </w:r>
          </w:p>
        </w:tc>
      </w:tr>
      <w:tr w14:paraId="7DC20847">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098F8B3">
            <w:r>
              <w:rPr>
                <w:color w:val="333333"/>
                <w:sz w:val="18"/>
                <w:szCs w:val="18"/>
              </w:rPr>
              <w:t>Email Inbox</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0CDFADC">
            <w:r>
              <w:rPr>
                <w:color w:val="333333"/>
                <w:sz w:val="18"/>
                <w:szCs w:val="18"/>
              </w:rPr>
              <w:t>Shared team inbox with sending via the customer’s own provider (SMTP/SendGrid/Microsoft 365).</w:t>
            </w:r>
          </w:p>
        </w:tc>
      </w:tr>
      <w:tr w14:paraId="70AE58A2">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427331">
            <w:r>
              <w:rPr>
                <w:color w:val="333333"/>
                <w:sz w:val="18"/>
                <w:szCs w:val="18"/>
              </w:rPr>
              <w:t>Analytics &amp; Reports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59E91E">
            <w:r>
              <w:rPr>
                <w:color w:val="333333"/>
                <w:sz w:val="18"/>
                <w:szCs w:val="18"/>
              </w:rPr>
              <w:t>Dashboards and team reports, scoped to each viewer’s remit.</w:t>
            </w:r>
          </w:p>
        </w:tc>
      </w:tr>
      <w:tr w14:paraId="45DD44F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8667B8">
            <w:r>
              <w:rPr>
                <w:color w:val="333333"/>
                <w:sz w:val="18"/>
                <w:szCs w:val="18"/>
              </w:rPr>
              <w:t>Team Messaging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08B0D6">
            <w:r>
              <w:rPr>
                <w:color w:val="333333"/>
                <w:sz w:val="18"/>
                <w:szCs w:val="18"/>
              </w:rPr>
              <w:t>Internal staff chat.</w:t>
            </w:r>
          </w:p>
        </w:tc>
      </w:tr>
      <w:tr w14:paraId="0CC78EBD">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2F2E84E">
            <w:r>
              <w:rPr>
                <w:color w:val="333333"/>
                <w:sz w:val="18"/>
                <w:szCs w:val="18"/>
              </w:rPr>
              <w:t>Integrations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39BAD4F">
            <w:r>
              <w:rPr>
                <w:color w:val="333333"/>
                <w:sz w:val="18"/>
                <w:szCs w:val="18"/>
              </w:rPr>
              <w:t>Connectors, webhooks and API keys.</w:t>
            </w:r>
          </w:p>
        </w:tc>
      </w:tr>
    </w:tbl>
    <w:p w14:paraId="72AF7327">
      <w:pPr>
        <w:pStyle w:val="2"/>
      </w:pPr>
      <w:bookmarkStart w:id="2" w:name="_Toc218413597"/>
      <w:r>
        <w:t>3.  Architecture &amp; Technology</w:t>
      </w:r>
      <w:bookmarkEnd w:id="2"/>
    </w:p>
    <w:p w14:paraId="59311879">
      <w:pPr>
        <w:spacing w:after="120"/>
      </w:pPr>
      <w:r>
        <w:t>The system is a single code repository ("monorepo") split into shared packages and two runnable applications.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5598F64">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72A53D8">
            <w:r>
              <w:rPr>
                <w:b/>
                <w:bCs/>
                <w:color w:val="FFFFFF"/>
                <w:sz w:val="18"/>
                <w:szCs w:val="18"/>
              </w:rPr>
              <w:t>Layer</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3C579872">
            <w:r>
              <w:rPr>
                <w:b/>
                <w:bCs/>
                <w:color w:val="FFFFFF"/>
                <w:sz w:val="18"/>
                <w:szCs w:val="18"/>
              </w:rPr>
              <w:t>Technology</w:t>
            </w:r>
          </w:p>
        </w:tc>
      </w:tr>
      <w:tr w14:paraId="6B5AAA58">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FD339E">
            <w:r>
              <w:rPr>
                <w:color w:val="333333"/>
                <w:sz w:val="18"/>
                <w:szCs w:val="18"/>
              </w:rPr>
              <w:t>Frontend (web app)</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71F09FD">
            <w:r>
              <w:rPr>
                <w:color w:val="333333"/>
                <w:sz w:val="18"/>
                <w:szCs w:val="18"/>
              </w:rPr>
              <w:t>React, TanStack Query &amp; Table, Tailwind-style UI, Lucide icons, dnd-kit, LiveKit client.</w:t>
            </w:r>
          </w:p>
        </w:tc>
      </w:tr>
      <w:tr w14:paraId="4174C92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B1E50D2">
            <w:r>
              <w:rPr>
                <w:color w:val="333333"/>
                <w:sz w:val="18"/>
                <w:szCs w:val="18"/>
              </w:rPr>
              <w:t>Backend (API)</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416F4BB">
            <w:r>
              <w:rPr>
                <w:color w:val="333333"/>
                <w:sz w:val="18"/>
                <w:szCs w:val="18"/>
              </w:rPr>
              <w:t>Node.js with Fastify; GraphQL via Mercurius; Zod validation; JWT auth; rate-limiting &amp; security headers.</w:t>
            </w:r>
          </w:p>
        </w:tc>
      </w:tr>
      <w:tr w14:paraId="617CB88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C7063B5">
            <w:r>
              <w:rPr>
                <w:color w:val="333333"/>
                <w:sz w:val="18"/>
                <w:szCs w:val="18"/>
              </w:rPr>
              <w:t>Database</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1404BE">
            <w:r>
              <w:rPr>
                <w:color w:val="333333"/>
                <w:sz w:val="18"/>
                <w:szCs w:val="18"/>
              </w:rPr>
              <w:t>PostgreSQL with Row-Level Security (per-tenant isolation); 24 ordered migrations.</w:t>
            </w:r>
          </w:p>
        </w:tc>
      </w:tr>
      <w:tr w14:paraId="071D37E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1AEB78F">
            <w:r>
              <w:rPr>
                <w:color w:val="333333"/>
                <w:sz w:val="18"/>
                <w:szCs w:val="18"/>
              </w:rPr>
              <w:t>Voice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1698">
            <w:r>
              <w:rPr>
                <w:color w:val="333333"/>
                <w:sz w:val="18"/>
                <w:szCs w:val="18"/>
              </w:rPr>
              <w:t>LiveKit server SDK; the "Nadia" agent for inbound/outbound calls.</w:t>
            </w:r>
          </w:p>
        </w:tc>
      </w:tr>
      <w:tr w14:paraId="5EC1C9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15950AE">
            <w:r>
              <w:rPr>
                <w:color w:val="333333"/>
                <w:sz w:val="18"/>
                <w:szCs w:val="18"/>
              </w:rPr>
              <w:t>Email</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57D54B8">
            <w:r>
              <w:rPr>
                <w:color w:val="333333"/>
                <w:sz w:val="18"/>
                <w:szCs w:val="18"/>
              </w:rPr>
              <w:t>Nodemailer (SMTP), SendGrid and Microsoft 365 Graph providers.</w:t>
            </w:r>
          </w:p>
        </w:tc>
      </w:tr>
      <w:tr w14:paraId="39A5123C">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E43C020">
            <w:r>
              <w:rPr>
                <w:color w:val="333333"/>
                <w:sz w:val="18"/>
                <w:szCs w:val="18"/>
              </w:rPr>
              <w:t>Documents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638528">
            <w:r>
              <w:rPr>
                <w:color w:val="333333"/>
                <w:sz w:val="18"/>
                <w:szCs w:val="18"/>
              </w:rPr>
              <w:t>docxtemplater + PizZip for invoice/template generation.</w:t>
            </w:r>
          </w:p>
        </w:tc>
      </w:tr>
      <w:tr w14:paraId="1493DE2E">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94A5D62">
            <w:r>
              <w:rPr>
                <w:color w:val="333333"/>
                <w:sz w:val="18"/>
                <w:szCs w:val="18"/>
              </w:rPr>
              <w:t>Hosting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A4A5462">
            <w:r>
              <w:rPr>
                <w:color w:val="333333"/>
                <w:sz w:val="18"/>
                <w:szCs w:val="18"/>
              </w:rPr>
              <w:t>API on a VPS; frontend on Vercel; storage on S3-compatible backend; Redis optional.</w:t>
            </w:r>
          </w:p>
        </w:tc>
      </w:tr>
    </w:tbl>
    <w:p w14:paraId="0944405E">
      <w:pPr>
        <w:pStyle w:val="2"/>
      </w:pPr>
      <w:bookmarkStart w:id="3" w:name="_Toc827772056"/>
      <w:r>
        <w:t>4.  Multi-Tenancy &amp; Security</w:t>
      </w:r>
      <w:bookmarkEnd w:id="3"/>
    </w:p>
    <w:p w14:paraId="17A40171">
      <w:pPr>
        <w:pStyle w:val="16"/>
        <w:numPr>
          <w:ilvl w:val="0"/>
          <w:numId w:val="1"/>
        </w:numPr>
        <w:spacing w:after="50"/>
      </w:pPr>
      <w:r>
        <w:t>Every record carries a tenant identifier and PostgreSQL Row-Level Security enforces that one tenant can never read another’s data — at the database layer, not just in code.</w:t>
      </w:r>
    </w:p>
    <w:p w14:paraId="6FB778C8">
      <w:pPr>
        <w:pStyle w:val="16"/>
        <w:numPr>
          <w:ilvl w:val="0"/>
          <w:numId w:val="1"/>
        </w:numPr>
        <w:spacing w:after="50"/>
      </w:pPr>
      <w:r>
        <w:t>Authentication uses signed JWT tokens; a revocation list invalidates tokens on logout or password change.</w:t>
      </w:r>
    </w:p>
    <w:p w14:paraId="2CA99343">
      <w:pPr>
        <w:pStyle w:val="16"/>
        <w:numPr>
          <w:ilvl w:val="0"/>
          <w:numId w:val="1"/>
        </w:numPr>
        <w:spacing w:after="50"/>
      </w:pPr>
      <w:r>
        <w:t>API keys (for integrations) are hashed, scoped and rate-limited.</w:t>
      </w:r>
    </w:p>
    <w:p w14:paraId="67324867">
      <w:pPr>
        <w:pStyle w:val="16"/>
        <w:numPr>
          <w:ilvl w:val="0"/>
          <w:numId w:val="1"/>
        </w:numPr>
        <w:spacing w:after="50"/>
      </w:pPr>
      <w:r>
        <w:t>Security headers, CORS allow-listing and request validation are applied globally.</w:t>
      </w:r>
    </w:p>
    <w:p w14:paraId="3FA1EA12">
      <w:pPr>
        <w:pStyle w:val="16"/>
        <w:numPr>
          <w:ilvl w:val="0"/>
          <w:numId w:val="1"/>
        </w:numPr>
        <w:spacing w:after="50"/>
      </w:pPr>
      <w:r>
        <w:t>Secrets (e.g. the email provider key) are kept in local environment files that are excluded from version control.</w:t>
      </w:r>
    </w:p>
    <w:p w14:paraId="69AADC5B">
      <w:pPr>
        <w:pStyle w:val="2"/>
      </w:pPr>
      <w:bookmarkStart w:id="4" w:name="_Toc965879926"/>
      <w:r>
        <w:t>5.  Access-Control Model</w:t>
      </w:r>
      <w:bookmarkEnd w:id="4"/>
    </w:p>
    <w:p w14:paraId="7E68E9D8">
      <w:pPr>
        <w:spacing w:after="120"/>
      </w:pPr>
      <w:r>
        <w:t>Access is governed by three independent layers plus a separation-of-duties rule. Together they answer: what did the customer buy, who may act, and whose records can they see.</w:t>
      </w:r>
    </w:p>
    <w:p w14:paraId="53AD79D9">
      <w:pPr>
        <w:pStyle w:val="3"/>
      </w:pPr>
      <w:bookmarkStart w:id="5" w:name="_Toc715028609"/>
      <w:r>
        <w:t>5.1  Layer 1 — Entitlement (what is licensed)</w:t>
      </w:r>
      <w:bookmarkEnd w:id="5"/>
    </w:p>
    <w:p w14:paraId="412C9CF7">
      <w:pPr>
        <w:spacing w:after="120"/>
      </w:pPr>
      <w:r>
        <w:t>The provider’s super-admin licenses modules and the specific features within them when creating a workspace. This is the commercial ceiling, stored against the tenant. Unlicensed features are hidden from the menu and refused by the API.</w:t>
      </w:r>
    </w:p>
    <w:p w14:paraId="37EB088C">
      <w:pPr>
        <w:pStyle w:val="3"/>
      </w:pPr>
      <w:bookmarkStart w:id="6" w:name="_Toc167342851"/>
      <w:r>
        <w:t>5.2  Layer 2 — Roles (who may create / edit / delete)</w:t>
      </w:r>
      <w:bookmarkEnd w:id="6"/>
    </w:p>
    <w:p w14:paraId="508F877C">
      <w:pPr>
        <w:spacing w:after="120"/>
      </w:pPr>
      <w:r>
        <w:t>Within the licensed set, the tenant administrator builds roles (Admin, Manager, Agent, Viewer and custom roles) and decides who may create, edit or delete each type of record. Four standard roles are auto-created with sensible defaults.</w:t>
      </w:r>
    </w:p>
    <w:p w14:paraId="75780300">
      <w:pPr>
        <w:pStyle w:val="3"/>
      </w:pPr>
      <w:bookmarkStart w:id="7" w:name="_Toc1475202834"/>
      <w:r>
        <w:t>5.3  Layer 3 — Record visibility (whose work you see)</w:t>
      </w:r>
      <w:bookmarkEnd w:id="7"/>
    </w:p>
    <w:p w14:paraId="24D36B6F">
      <w:pPr>
        <w:spacing w:after="120"/>
      </w:pPr>
      <w:r>
        <w:t>Visibility follows the line-manager reporting tree, applied as a hard filter: an agent sees only their own records; a line manager sees their team; a department manager sees their whole department. This governs Contacts, Deals, Activities, dashboards and pipeline totals consistently.</w:t>
      </w:r>
    </w:p>
    <w:p w14:paraId="2644FED1">
      <w:pPr>
        <w:pStyle w:val="3"/>
      </w:pPr>
      <w:bookmarkStart w:id="8" w:name="_Toc1035326423"/>
      <w:r>
        <w:t>5.4  Separation of duties</w:t>
      </w:r>
      <w:bookmarkEnd w:id="8"/>
    </w:p>
    <w:p w14:paraId="36D2A9F7">
      <w:pPr>
        <w:spacing w:after="120"/>
      </w:pPr>
      <w:r>
        <w:t>The tenant administrator is a back-office role only — it manages users, roles, settings and integrations but cannot see operations or billing. Billing (both the subscription and customer invoicing) belongs to a Finance/Sales role, never the administrator.</w:t>
      </w:r>
    </w:p>
    <w:p w14:paraId="66B524AC">
      <w:pPr>
        <w:pStyle w:val="2"/>
      </w:pPr>
      <w:bookmarkStart w:id="9" w:name="_Toc1818683367"/>
      <w:r>
        <w:t>6.  Customer Onboarding</w:t>
      </w:r>
      <w:bookmarkEnd w:id="9"/>
    </w:p>
    <w:p w14:paraId="353ADBB7">
      <w:pPr>
        <w:pStyle w:val="16"/>
        <w:numPr>
          <w:ilvl w:val="0"/>
          <w:numId w:val="2"/>
        </w:numPr>
        <w:spacing w:after="50"/>
      </w:pPr>
      <w:r>
        <w:t>Super-admin creates the workspace in two steps: organisation &amp; administrator details, then the licensed modules &amp; features agreed with the customer.</w:t>
      </w:r>
    </w:p>
    <w:p w14:paraId="5A6196FD">
      <w:pPr>
        <w:pStyle w:val="16"/>
        <w:numPr>
          <w:ilvl w:val="0"/>
          <w:numId w:val="2"/>
        </w:numPr>
        <w:spacing w:after="50"/>
      </w:pPr>
      <w:r>
        <w:t>The first tenant administrator is provisioned automatically with a one-time temporary password.</w:t>
      </w:r>
    </w:p>
    <w:p w14:paraId="616DDC76">
      <w:pPr>
        <w:pStyle w:val="16"/>
        <w:numPr>
          <w:ilvl w:val="0"/>
          <w:numId w:val="2"/>
        </w:numPr>
        <w:spacing w:after="50"/>
      </w:pPr>
      <w:r>
        <w:t>The temporary password is e-mailed to the customer (SendGrid); the super-admin can reset and re-send it at any time.</w:t>
      </w:r>
    </w:p>
    <w:p w14:paraId="7BB005BB">
      <w:pPr>
        <w:pStyle w:val="16"/>
        <w:numPr>
          <w:ilvl w:val="0"/>
          <w:numId w:val="2"/>
        </w:numPr>
        <w:spacing w:after="50"/>
      </w:pPr>
      <w:r>
        <w:t>Four standard roles are auto-seeded; the tenant administrator then tailors roles and invites staff, setting each person’s line manager and department.</w:t>
      </w:r>
    </w:p>
    <w:p w14:paraId="328A55F6">
      <w:pPr>
        <w:pStyle w:val="2"/>
      </w:pPr>
      <w:bookmarkStart w:id="10" w:name="_Toc1476601418"/>
      <w:r>
        <w:t>7.  Operational Flow (Enquiry to Revenue)</w:t>
      </w:r>
      <w:bookmarkEnd w:id="10"/>
    </w:p>
    <w:p w14:paraId="53293E82">
      <w:pPr>
        <w:pStyle w:val="16"/>
        <w:numPr>
          <w:ilvl w:val="0"/>
          <w:numId w:val="2"/>
        </w:numPr>
        <w:spacing w:after="50"/>
      </w:pPr>
      <w:r>
        <w:t>A customer contacts the support function — by phone (incl. the Nadia voice agent), email or web.</w:t>
      </w:r>
    </w:p>
    <w:p w14:paraId="79D130EF">
      <w:pPr>
        <w:pStyle w:val="16"/>
        <w:numPr>
          <w:ilvl w:val="0"/>
          <w:numId w:val="2"/>
        </w:numPr>
        <w:spacing w:after="50"/>
      </w:pPr>
      <w:r>
        <w:t>A ticket is raised and typed as a complaint, enquiry or sales opportunity.</w:t>
      </w:r>
    </w:p>
    <w:p w14:paraId="3E79AA0E">
      <w:pPr>
        <w:pStyle w:val="16"/>
        <w:numPr>
          <w:ilvl w:val="0"/>
          <w:numId w:val="2"/>
        </w:numPr>
        <w:spacing w:after="50"/>
      </w:pPr>
      <w:r>
        <w:t>Smart, capacity-aware routing sends it to the right queue/agent; the agent accepts it and the SLA/TAT timer starts.</w:t>
      </w:r>
    </w:p>
    <w:p w14:paraId="51BFBDD6">
      <w:pPr>
        <w:pStyle w:val="16"/>
        <w:numPr>
          <w:ilvl w:val="0"/>
          <w:numId w:val="2"/>
        </w:numPr>
        <w:spacing w:after="50"/>
      </w:pPr>
      <w:r>
        <w:t>The agent works the ticket through its stages (accepted → in progress → pending → resolved → closed), with milestones and escalation.</w:t>
      </w:r>
    </w:p>
    <w:p w14:paraId="7F1930B5">
      <w:pPr>
        <w:pStyle w:val="16"/>
        <w:numPr>
          <w:ilvl w:val="0"/>
          <w:numId w:val="2"/>
        </w:numPr>
        <w:spacing w:after="50"/>
      </w:pPr>
      <w:r>
        <w:t>For a sales ticket, acceptance (or a manual "Convert to Deal" button) creates a linked deal in the sales pipeline so the opportunity is forecast — nothing is lost between teams.</w:t>
      </w:r>
    </w:p>
    <w:p w14:paraId="5E58497C">
      <w:pPr>
        <w:pStyle w:val="16"/>
        <w:numPr>
          <w:ilvl w:val="0"/>
          <w:numId w:val="2"/>
        </w:numPr>
        <w:spacing w:after="50"/>
      </w:pPr>
      <w:r>
        <w:t>On resolution the customer receives a satisfaction (CSAT) survey; the ticket and its live status also appear on the customer’s CRM record.</w:t>
      </w:r>
    </w:p>
    <w:p w14:paraId="714AB3C6">
      <w:pPr>
        <w:pStyle w:val="2"/>
      </w:pPr>
      <w:bookmarkStart w:id="11" w:name="_Toc919007594"/>
      <w:r>
        <w:t>8.  Development Timeline (All Sessions)</w:t>
      </w:r>
      <w:bookmarkEnd w:id="11"/>
    </w:p>
    <w:p w14:paraId="7DADEF3C">
      <w:pPr>
        <w:spacing w:after="120"/>
      </w:pPr>
      <w:r>
        <w:t>Chronological record of the work, by 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60"/>
      </w:tblGrid>
      <w:tr w14:paraId="27E56180">
        <w:tc>
          <w:tcPr>
            <w:tcW w:w="17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019BBD61">
            <w:r>
              <w:rPr>
                <w:b/>
                <w:bCs/>
                <w:color w:val="FFFFFF"/>
                <w:sz w:val="18"/>
                <w:szCs w:val="18"/>
              </w:rPr>
              <w:t>Date</w:t>
            </w:r>
          </w:p>
        </w:tc>
        <w:tc>
          <w:tcPr>
            <w:tcW w:w="76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C64F010">
            <w:r>
              <w:rPr>
                <w:b/>
                <w:bCs/>
                <w:color w:val="FFFFFF"/>
                <w:sz w:val="18"/>
                <w:szCs w:val="18"/>
              </w:rPr>
              <w:t>Work delivered</w:t>
            </w:r>
          </w:p>
        </w:tc>
      </w:tr>
      <w:tr w14:paraId="28C007DA">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8211510">
            <w:r>
              <w:rPr>
                <w:color w:val="333333"/>
                <w:sz w:val="18"/>
                <w:szCs w:val="18"/>
              </w:rPr>
              <w:t>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0115B0">
            <w:r>
              <w:rPr>
                <w:color w:val="333333"/>
                <w:sz w:val="18"/>
                <w:szCs w:val="18"/>
              </w:rPr>
              <w:t>Initial platform build; LiveKit "Nadia" complaint ingestion; tsx API runtime.</w:t>
            </w:r>
          </w:p>
        </w:tc>
      </w:tr>
      <w:tr w14:paraId="1A9FE3B3">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DDE5C4">
            <w:r>
              <w:rPr>
                <w:color w:val="333333"/>
                <w:sz w:val="18"/>
                <w:szCs w:val="18"/>
              </w:rPr>
              <w:t>10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22D9E61">
            <w:r>
              <w:rPr>
                <w:color w:val="333333"/>
                <w:sz w:val="18"/>
                <w:szCs w:val="18"/>
              </w:rPr>
              <w:t>SQA remediation — 11 bugs fixed, 201/201 tests passing; Supabase TLS; Redis made optional; "Call Nadia" web-call (backend dispatch + token + widget).</w:t>
            </w:r>
          </w:p>
        </w:tc>
      </w:tr>
      <w:tr w14:paraId="1C58E40D">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39A1596">
            <w:r>
              <w:rPr>
                <w:color w:val="333333"/>
                <w:sz w:val="18"/>
                <w:szCs w:val="18"/>
              </w:rPr>
              <w:t>11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6A961D0">
            <w:r>
              <w:rPr>
                <w:color w:val="333333"/>
                <w:sz w:val="18"/>
                <w:szCs w:val="18"/>
              </w:rPr>
              <w:t>Automated SQA test suite added (201 tests).</w:t>
            </w:r>
          </w:p>
        </w:tc>
      </w:tr>
      <w:tr w14:paraId="1843F666">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ACDE54D">
            <w:r>
              <w:rPr>
                <w:color w:val="333333"/>
                <w:sz w:val="18"/>
                <w:szCs w:val="18"/>
              </w:rPr>
              <w:t>13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9AA4424">
            <w:r>
              <w:rPr>
                <w:color w:val="333333"/>
                <w:sz w:val="18"/>
                <w:szCs w:val="18"/>
              </w:rPr>
              <w:t>Milestone templates &amp; queue-routing columns; deployment to new VPS.</w:t>
            </w:r>
          </w:p>
        </w:tc>
      </w:tr>
      <w:tr w14:paraId="774E00A0">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E604067">
            <w:r>
              <w:rPr>
                <w:color w:val="333333"/>
                <w:sz w:val="18"/>
                <w:szCs w:val="18"/>
              </w:rPr>
              <w:t>19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284B53A">
            <w:r>
              <w:rPr>
                <w:color w:val="333333"/>
                <w:sz w:val="18"/>
                <w:szCs w:val="18"/>
              </w:rPr>
              <w:t>Fifteen gaps resolved — webhooks, S3 storage, email, scaling, analytics, mobile; migrations 012–017.</w:t>
            </w:r>
          </w:p>
        </w:tc>
      </w:tr>
      <w:tr w14:paraId="4DB244AC">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E021111">
            <w:r>
              <w:rPr>
                <w:color w:val="333333"/>
                <w:sz w:val="18"/>
                <w:szCs w:val="18"/>
              </w:rPr>
              <w:t>20–22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1A31588">
            <w:r>
              <w:rPr>
                <w:color w:val="333333"/>
                <w:sz w:val="18"/>
                <w:szCs w:val="18"/>
              </w:rPr>
              <w:t>Licensing/entitlement system; Sales &amp; Invoicing; team messaging; sales-dashboard &amp; invoice fixes; super-admin console clean-up.</w:t>
            </w:r>
          </w:p>
        </w:tc>
      </w:tr>
      <w:tr w14:paraId="1C3CCED4">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DD9522C">
            <w:r>
              <w:rPr>
                <w:color w:val="333333"/>
                <w:sz w:val="18"/>
                <w:szCs w:val="18"/>
              </w:rPr>
              <w:t>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49904A4">
            <w:r>
              <w:rPr>
                <w:color w:val="333333"/>
                <w:sz w:val="18"/>
                <w:szCs w:val="18"/>
              </w:rPr>
              <w:t>Separation of duties (admin-only tenant admin); hierarchy record-visibility; sales-ticket→deal conversion + button; SendGrid onboarding &amp; password reset; TAT on customer record; Departments page fix; this handover.</w:t>
            </w:r>
          </w:p>
        </w:tc>
      </w:tr>
    </w:tbl>
    <w:p w14:paraId="51B775E4">
      <w:pPr>
        <w:pStyle w:val="2"/>
      </w:pPr>
      <w:bookmarkStart w:id="12" w:name="_Toc1058243134"/>
      <w:r>
        <w:t>9.  Data Model — 24 Migrations</w:t>
      </w:r>
      <w:bookmarkEnd w:id="12"/>
    </w:p>
    <w:p w14:paraId="389E954A">
      <w:pPr>
        <w:spacing w:after="120"/>
      </w:pPr>
      <w:r>
        <w:t>The database evolved through 24 ordered migrations, grouped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5960"/>
      </w:tblGrid>
      <w:tr w14:paraId="2577BCAE">
        <w:tc>
          <w:tcPr>
            <w:tcW w:w="19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6119B8D">
            <w:r>
              <w:rPr>
                <w:b/>
                <w:bCs/>
                <w:color w:val="FFFFFF"/>
                <w:sz w:val="18"/>
                <w:szCs w:val="18"/>
              </w:rPr>
              <w:t>Group</w:t>
            </w:r>
          </w:p>
        </w:tc>
        <w:tc>
          <w:tcPr>
            <w:tcW w:w="15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86900B6">
            <w:r>
              <w:rPr>
                <w:b/>
                <w:bCs/>
                <w:color w:val="FFFFFF"/>
                <w:sz w:val="18"/>
                <w:szCs w:val="18"/>
              </w:rPr>
              <w:t>Migrations</w:t>
            </w:r>
          </w:p>
        </w:tc>
        <w:tc>
          <w:tcPr>
            <w:tcW w:w="59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6B342720">
            <w:r>
              <w:rPr>
                <w:b/>
                <w:bCs/>
                <w:color w:val="FFFFFF"/>
                <w:sz w:val="18"/>
                <w:szCs w:val="18"/>
              </w:rPr>
              <w:t>Coverage</w:t>
            </w:r>
          </w:p>
        </w:tc>
      </w:tr>
      <w:tr w14:paraId="206C883F">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03A16A7">
            <w:r>
              <w:rPr>
                <w:color w:val="333333"/>
                <w:sz w:val="18"/>
                <w:szCs w:val="18"/>
              </w:rPr>
              <w:t>Foundation</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97DCB4D">
            <w:r>
              <w:rPr>
                <w:color w:val="333333"/>
                <w:sz w:val="18"/>
                <w:szCs w:val="18"/>
              </w:rPr>
              <w:t>001–009</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125DDA">
            <w:r>
              <w:rPr>
                <w:color w:val="333333"/>
                <w:sz w:val="18"/>
                <w:szCs w:val="18"/>
              </w:rPr>
              <w:t>Core schema, billing, ticketing, email, voice bot, password reset, complaint fields, sales invoicing, Row-Level Security, roles/sector/permissions.</w:t>
            </w:r>
          </w:p>
        </w:tc>
      </w:tr>
      <w:tr w14:paraId="6793A399">
        <w:tc>
          <w:tcPr>
            <w:tcW w:w="19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757343E">
            <w:r>
              <w:rPr>
                <w:color w:val="333333"/>
                <w:sz w:val="18"/>
                <w:szCs w:val="18"/>
              </w:rPr>
              <w:t>Enhancements</w:t>
            </w:r>
          </w:p>
        </w:tc>
        <w:tc>
          <w:tcPr>
            <w:tcW w:w="15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6514">
            <w:r>
              <w:rPr>
                <w:color w:val="333333"/>
                <w:sz w:val="18"/>
                <w:szCs w:val="18"/>
              </w:rPr>
              <w:t>010–017</w:t>
            </w:r>
          </w:p>
        </w:tc>
        <w:tc>
          <w:tcPr>
            <w:tcW w:w="59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897F192">
            <w:r>
              <w:rPr>
                <w:color w:val="333333"/>
                <w:sz w:val="18"/>
                <w:szCs w:val="18"/>
              </w:rPr>
              <w:t>Gap remediation, milestone templates &amp; routing, comment threading, line-manager links, system-role uniqueness, platform roles, permission normalisation, platform invoices, invoice templates.</w:t>
            </w:r>
          </w:p>
        </w:tc>
      </w:tr>
      <w:tr w14:paraId="0F22C4B4">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5740919">
            <w:r>
              <w:rPr>
                <w:color w:val="333333"/>
                <w:sz w:val="18"/>
                <w:szCs w:val="18"/>
              </w:rPr>
              <w:t>Scale &amp; Structure</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E84AE8">
            <w:r>
              <w:rPr>
                <w:color w:val="333333"/>
                <w:sz w:val="18"/>
                <w:szCs w:val="18"/>
              </w:rPr>
              <w:t>018–024</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9265566">
            <w:r>
              <w:rPr>
                <w:color w:val="333333"/>
                <w:sz w:val="18"/>
                <w:szCs w:val="18"/>
              </w:rPr>
              <w:t>Departments &amp; opportunities, webhook queue, analytics materialised views, backup &amp; storage, team messages, tenant entitlements, ticket→deal link.</w:t>
            </w:r>
          </w:p>
        </w:tc>
      </w:tr>
    </w:tbl>
    <w:p w14:paraId="2C51A08E">
      <w:pPr>
        <w:pStyle w:val="2"/>
      </w:pPr>
      <w:bookmarkStart w:id="13" w:name="_Toc432788684"/>
      <w:r>
        <w:t>10.  Current Status &amp; Testing</w:t>
      </w:r>
      <w:bookmarkEnd w:id="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4160"/>
      </w:tblGrid>
      <w:tr w14:paraId="71198EB5">
        <w:tc>
          <w:tcPr>
            <w:tcW w:w="52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A1EBFB3">
            <w:r>
              <w:rPr>
                <w:b/>
                <w:bCs/>
                <w:color w:val="FFFFFF"/>
                <w:sz w:val="18"/>
                <w:szCs w:val="18"/>
              </w:rPr>
              <w:t>Area</w:t>
            </w:r>
          </w:p>
        </w:tc>
        <w:tc>
          <w:tcPr>
            <w:tcW w:w="41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6D59CCC">
            <w:r>
              <w:rPr>
                <w:b/>
                <w:bCs/>
                <w:color w:val="FFFFFF"/>
                <w:sz w:val="18"/>
                <w:szCs w:val="18"/>
              </w:rPr>
              <w:t>Status</w:t>
            </w:r>
          </w:p>
        </w:tc>
      </w:tr>
      <w:tr w14:paraId="11A99A50">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A98CDF">
            <w:r>
              <w:rPr>
                <w:color w:val="333333"/>
                <w:sz w:val="18"/>
                <w:szCs w:val="18"/>
              </w:rPr>
              <w:t>Automated test suite</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DF17889">
            <w:r>
              <w:rPr>
                <w:color w:val="333333"/>
                <w:sz w:val="18"/>
                <w:szCs w:val="18"/>
              </w:rPr>
              <w:t>201 / 201 passing</w:t>
            </w:r>
          </w:p>
        </w:tc>
      </w:tr>
      <w:tr w14:paraId="0C2A224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FF8BFB">
            <w:r>
              <w:rPr>
                <w:color w:val="333333"/>
                <w:sz w:val="18"/>
                <w:szCs w:val="18"/>
              </w:rPr>
              <w:t>Tenant isolation (RLS)</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C5AFCDD">
            <w:r>
              <w:rPr>
                <w:color w:val="333333"/>
                <w:sz w:val="18"/>
                <w:szCs w:val="18"/>
              </w:rPr>
              <w:t>Enforced &amp; verified</w:t>
            </w:r>
          </w:p>
        </w:tc>
      </w:tr>
      <w:tr w14:paraId="60F4FC6A">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8DC1649">
            <w:r>
              <w:rPr>
                <w:color w:val="333333"/>
                <w:sz w:val="18"/>
                <w:szCs w:val="18"/>
              </w:rPr>
              <w:t>Licensing / entitlement enforcement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8FC586">
            <w:r>
              <w:rPr>
                <w:color w:val="333333"/>
                <w:sz w:val="18"/>
                <w:szCs w:val="18"/>
              </w:rPr>
              <w:t>Verified — unlicensed features return "not licensed"</w:t>
            </w:r>
          </w:p>
        </w:tc>
      </w:tr>
      <w:tr w14:paraId="663D14D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F44D14">
            <w:r>
              <w:rPr>
                <w:color w:val="333333"/>
                <w:sz w:val="18"/>
                <w:szCs w:val="18"/>
              </w:rPr>
              <w:t>Separation of duties (admin lockout)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DCCE028">
            <w:r>
              <w:rPr>
                <w:color w:val="333333"/>
                <w:sz w:val="18"/>
                <w:szCs w:val="18"/>
              </w:rPr>
              <w:t>Verified — operational &amp; billing routes blocked for admin</w:t>
            </w:r>
          </w:p>
        </w:tc>
      </w:tr>
      <w:tr w14:paraId="519D2BAD">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96EC5CA">
            <w:r>
              <w:rPr>
                <w:color w:val="333333"/>
                <w:sz w:val="18"/>
                <w:szCs w:val="18"/>
              </w:rPr>
              <w:t>Record visibility by hierarchy</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E55E4A">
            <w:r>
              <w:rPr>
                <w:color w:val="333333"/>
                <w:sz w:val="18"/>
                <w:szCs w:val="18"/>
              </w:rPr>
              <w:t>Verified at agent / line-manager / manager levels</w:t>
            </w:r>
          </w:p>
        </w:tc>
      </w:tr>
      <w:tr w14:paraId="5DCF45B8">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1942D5">
            <w:r>
              <w:rPr>
                <w:color w:val="333333"/>
                <w:sz w:val="18"/>
                <w:szCs w:val="18"/>
              </w:rPr>
              <w:t>Sales ticket → deal conversion</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3C9E07D">
            <w:r>
              <w:rPr>
                <w:color w:val="333333"/>
                <w:sz w:val="18"/>
                <w:szCs w:val="18"/>
              </w:rPr>
              <w:t>Verified — auto + manual, idempotent</w:t>
            </w:r>
          </w:p>
        </w:tc>
      </w:tr>
      <w:tr w14:paraId="3F91301C">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5E624B1">
            <w:r>
              <w:rPr>
                <w:color w:val="333333"/>
                <w:sz w:val="18"/>
                <w:szCs w:val="18"/>
              </w:rPr>
              <w:t>Departments management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C40902">
            <w:r>
              <w:rPr>
                <w:color w:val="333333"/>
                <w:sz w:val="18"/>
                <w:szCs w:val="18"/>
              </w:rPr>
              <w:t>Fixed &amp; verified (was failing)</w:t>
            </w:r>
          </w:p>
        </w:tc>
      </w:tr>
      <w:tr w14:paraId="4E9FFA5D">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F05E3F0">
            <w:r>
              <w:rPr>
                <w:color w:val="333333"/>
                <w:sz w:val="18"/>
                <w:szCs w:val="18"/>
              </w:rPr>
              <w:t>Onboarding email &amp; password reset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CE0B5E5">
            <w:r>
              <w:rPr>
                <w:color w:val="333333"/>
                <w:sz w:val="18"/>
                <w:szCs w:val="18"/>
              </w:rPr>
              <w:t>Verified — live e-mail delivered via SendGrid</w:t>
            </w:r>
          </w:p>
        </w:tc>
      </w:tr>
    </w:tbl>
    <w:p w14:paraId="7DD3DB21">
      <w:pPr>
        <w:pStyle w:val="2"/>
      </w:pPr>
      <w:bookmarkStart w:id="14" w:name="_Toc352299599"/>
      <w:r>
        <w:t>11.  Known Items &amp; Roadmap</w:t>
      </w:r>
      <w:bookmarkEnd w:id="14"/>
    </w:p>
    <w:p w14:paraId="11CD35C1">
      <w:pPr>
        <w:pStyle w:val="16"/>
        <w:numPr>
          <w:ilvl w:val="0"/>
          <w:numId w:val="1"/>
        </w:numPr>
        <w:spacing w:after="50"/>
      </w:pPr>
      <w:r>
        <w:t>Optional: appoint a single company-wide operational manager (already supported by simply setting reporting lines — no code change needed).</w:t>
      </w:r>
    </w:p>
    <w:p w14:paraId="2C899D77">
      <w:pPr>
        <w:pStyle w:val="16"/>
        <w:numPr>
          <w:ilvl w:val="0"/>
          <w:numId w:val="1"/>
        </w:numPr>
        <w:spacing w:after="50"/>
      </w:pPr>
      <w:r>
        <w:t>Optional: extend granular per-action permission checks (create/edit/delete keys exist in Roles and can be wired to more endpoints).</w:t>
      </w:r>
    </w:p>
    <w:p w14:paraId="5578CDF5">
      <w:pPr>
        <w:pStyle w:val="16"/>
        <w:numPr>
          <w:ilvl w:val="0"/>
          <w:numId w:val="1"/>
        </w:numPr>
        <w:spacing w:after="50"/>
      </w:pPr>
      <w:r>
        <w:t>Optional: enrich the analytics dashboards and team reports as usage grows.</w:t>
      </w:r>
    </w:p>
    <w:p w14:paraId="496E2B6C">
      <w:pPr>
        <w:pStyle w:val="16"/>
        <w:numPr>
          <w:ilvl w:val="0"/>
          <w:numId w:val="1"/>
        </w:numPr>
        <w:spacing w:after="50"/>
      </w:pPr>
      <w:r>
        <w:t>Data linkage note: staff are linked to departments by department name/type; a future migration could add a formal department identifier if richer department features are needed.</w:t>
      </w:r>
    </w:p>
    <w:p w14:paraId="67EB444B">
      <w:pPr>
        <w:pStyle w:val="2"/>
      </w:pPr>
      <w:bookmarkStart w:id="15" w:name="_Toc486945614"/>
      <w:r>
        <w:t>12.  Access &amp; Environment</w:t>
      </w:r>
      <w:bookmarkEnd w:id="15"/>
    </w:p>
    <w:p w14:paraId="64BAAD9A">
      <w:pPr>
        <w:spacing w:after="120"/>
      </w:pPr>
      <w:r>
        <w:t>Operational reference for the team. Secrets are NOT included in this document and are never committed to version control.</w:t>
      </w:r>
    </w:p>
    <w:p w14:paraId="6E33D345">
      <w:pPr>
        <w:pStyle w:val="16"/>
        <w:numPr>
          <w:ilvl w:val="0"/>
          <w:numId w:val="1"/>
        </w:numPr>
        <w:spacing w:after="50"/>
      </w:pPr>
      <w:r>
        <w:t>Repository: github.com/munirrazaa/AI-Operations-Platfrom- (branch main).</w:t>
      </w:r>
    </w:p>
    <w:p w14:paraId="44E2EF16">
      <w:pPr>
        <w:pStyle w:val="16"/>
        <w:numPr>
          <w:ilvl w:val="0"/>
          <w:numId w:val="1"/>
        </w:numPr>
        <w:spacing w:after="50"/>
      </w:pPr>
      <w:r>
        <w:t>Frontend: Vercel · API: VPS · Database: PostgreSQL (Supabase pooler, TLS) · Storage: S3-compatible · Redis: optional.</w:t>
      </w:r>
    </w:p>
    <w:p w14:paraId="55E908C3">
      <w:pPr>
        <w:pStyle w:val="16"/>
        <w:numPr>
          <w:ilvl w:val="0"/>
          <w:numId w:val="1"/>
        </w:numPr>
        <w:spacing w:after="50"/>
      </w:pPr>
      <w:r>
        <w:t>Email: configured per environment via SendGrid / SMTP / Microsoft 365 keys held in local environment files only.</w:t>
      </w:r>
    </w:p>
    <w:p w14:paraId="381CD16A">
      <w:pPr>
        <w:pStyle w:val="16"/>
        <w:numPr>
          <w:ilvl w:val="0"/>
          <w:numId w:val="1"/>
        </w:numPr>
        <w:spacing w:after="50"/>
      </w:pPr>
      <w:r>
        <w:t>Super-admin and tenant credentials are distributed separately through secure channels, not in this document.</w:t>
      </w:r>
    </w:p>
    <w:sectPr>
      <w:headerReference r:id="rId3" w:type="default"/>
      <w:footerReference r:id="rId4" w:type="default"/>
      <w:pgSz w:w="12240" w:h="15840"/>
      <w:pgMar w:top="1320" w:right="1440" w:bottom="13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738B">
    <w:pPr>
      <w:jc w:val="center"/>
    </w:pPr>
    <w:r>
      <w:rPr>
        <w:color w:val="6B7280"/>
        <w:sz w:val="15"/>
        <w:szCs w:val="15"/>
      </w:rPr>
      <w:t xml:space="preserve">Confidential — Solution Handover · Page </w:t>
    </w:r>
    <w:r>
      <w:rPr>
        <w:color w:val="6B7280"/>
        <w:sz w:val="15"/>
        <w:szCs w:val="15"/>
      </w:rPr>
      <w:fldChar w:fldCharType="begin"/>
    </w:r>
    <w:r>
      <w:rPr>
        <w:color w:val="6B7280"/>
        <w:sz w:val="15"/>
        <w:szCs w:val="15"/>
      </w:rPr>
      <w:instrText xml:space="preserve">PAGE</w:instrText>
    </w:r>
    <w:r>
      <w:rPr>
        <w:color w:val="6B7280"/>
        <w:sz w:val="15"/>
        <w:szCs w:val="15"/>
      </w:rPr>
      <w:fldChar w:fldCharType="separate"/>
    </w:r>
    <w:r>
      <w:rPr>
        <w:color w:val="6B728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C8CC4">
    <w:pPr>
      <w:pBdr>
        <w:bottom w:val="single" w:color="29ABE2" w:sz="4" w:space="4"/>
      </w:pBdr>
      <w:jc w:val="right"/>
    </w:pPr>
    <w:r>
      <w:rPr>
        <w:color w:val="6B7280"/>
        <w:sz w:val="15"/>
        <w:szCs w:val="15"/>
      </w:rPr>
      <w:t>Vivid Solutions &amp; Services — AI Operations / CRM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DFFF0E"/>
    <w:multiLevelType w:val="singleLevel"/>
    <w:tmpl w:val="CEDFFF0E"/>
    <w:lvl w:ilvl="0" w:tentative="0">
      <w:start w:val="1"/>
      <w:numFmt w:val="decimal"/>
      <w:lvlText w:val="%1."/>
      <w:lvlJc w:val="left"/>
      <w:pPr>
        <w:ind w:left="520" w:hanging="260"/>
      </w:pPr>
    </w:lvl>
  </w:abstractNum>
  <w:abstractNum w:abstractNumId="1">
    <w:nsid w:val="FDA6F51F"/>
    <w:multiLevelType w:val="singleLevel"/>
    <w:tmpl w:val="FDA6F51F"/>
    <w:lvl w:ilvl="0" w:tentative="0">
      <w:start w:val="1"/>
      <w:numFmt w:val="bullet"/>
      <w:lvlText w:val="•"/>
      <w:lvlJc w:val="left"/>
      <w:pPr>
        <w:ind w:left="52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documentProtection w:enforcement="0"/>
  <w:compat>
    <w:compatSetting w:name="compatibilityMode" w:uri="http://schemas.microsoft.com/office/word" w:val="15"/>
  </w:compat>
  <w:rsids>
    <w:rsidRoot w:val="00000000"/>
    <w:rsid w:val="7FAFD9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1"/>
      <w:szCs w:val="21"/>
    </w:rPr>
  </w:style>
  <w:style w:type="paragraph" w:styleId="2">
    <w:name w:val="heading 1"/>
    <w:next w:val="1"/>
    <w:qFormat/>
    <w:uiPriority w:val="0"/>
    <w:pPr>
      <w:spacing w:before="260" w:after="130"/>
      <w:outlineLvl w:val="0"/>
    </w:pPr>
    <w:rPr>
      <w:rFonts w:ascii="Arial" w:hAnsi="Arial" w:eastAsia="Arial" w:cs="Arial"/>
      <w:b/>
      <w:bCs/>
      <w:color w:val="0A4162"/>
      <w:sz w:val="28"/>
      <w:szCs w:val="28"/>
    </w:rPr>
  </w:style>
  <w:style w:type="paragraph" w:styleId="3">
    <w:name w:val="heading 2"/>
    <w:next w:val="1"/>
    <w:qFormat/>
    <w:uiPriority w:val="0"/>
    <w:pPr>
      <w:spacing w:before="170" w:after="90"/>
      <w:outlineLvl w:val="1"/>
    </w:pPr>
    <w:rPr>
      <w:rFonts w:ascii="Arial" w:hAnsi="Arial" w:eastAsia="Arial" w:cs="Arial"/>
      <w:b/>
      <w:bCs/>
      <w:color w:val="29ABE2"/>
      <w:sz w:val="23"/>
      <w:szCs w:val="23"/>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3333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333333"/>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333333"/>
      <w:sz w:val="56"/>
      <w:szCs w:val="56"/>
    </w:rPr>
  </w:style>
  <w:style w:type="paragraph" w:styleId="16">
    <w:name w:val="List Paragraph"/>
    <w:qFormat/>
    <w:uiPriority w:val="0"/>
    <w:rPr>
      <w:rFonts w:ascii="Arial" w:hAnsi="Arial" w:eastAsia="Arial" w:cs="Arial"/>
      <w:color w:val="333333"/>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Munir Raza Waris</cp:lastModifiedBy>
  <dcterms:modified xsi:type="dcterms:W3CDTF">2026-06-22T20:40:28Z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D6972BBFB44A84866C57396AC043A14F_42</vt:lpwstr>
  </property>
</Properties>
</file>