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A93"/>
          <w:sz w:val="48"/>
          <w:szCs w:val="48"/>
        </w:rPr>
        <w:t xml:space="preserve">SOFTWARE DESIGN DOCUMENT</w:t>
      </w:r>
    </w:p>
    <w:p>
      <w:pPr>
        <w:spacing w:after="120" w:before="0"/>
        <w:jc w:val="center"/>
      </w:pPr>
      <w:r>
        <w:rPr>
          <w:rFonts w:ascii="Arial" w:cs="Arial" w:eastAsia="Arial" w:hAnsi="Arial"/>
          <w:b/>
          <w:bCs/>
          <w:color w:val="1A1A2E"/>
          <w:sz w:val="40"/>
          <w:szCs w:val="40"/>
        </w:rPr>
        <w:t xml:space="preserve">CRM Platform — Sales &amp; Invoicing Module</w:t>
      </w:r>
    </w:p>
    <w:p>
      <w:pPr>
        <w:spacing w:after="480" w:before="0"/>
        <w:jc w:val="center"/>
      </w:pPr>
      <w:r>
        <w:rPr>
          <w:rFonts w:ascii="Arial" w:cs="Arial" w:eastAsia="Arial" w:hAnsi="Arial"/>
          <w:i/>
          <w:iCs/>
          <w:color w:val="555555"/>
          <w:sz w:val="28"/>
          <w:szCs w:val="28"/>
        </w:rPr>
        <w:t xml:space="preserve">Session 2: SalesBuilder, Invoice Templates &amp; DOCX Engine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E8EBF7" w:val="clear"/>
            <w:tcMar>
              <w:top w:type="dxa" w:w="100"/>
              <w:left w:type="dxa" w:w="200"/>
              <w:bottom w:type="dxa" w:w="100"/>
              <w:right w:type="dxa" w:w="200"/>
            </w:tcMar>
          </w:tcPr>
          <w:p>
            <w:r>
              <w:rPr>
                <w:rFonts w:ascii="Arial" w:cs="Arial" w:eastAsia="Arial" w:hAnsi="Arial"/>
                <w:b/>
                <w:bCs/>
                <w:color w:val="1F3A93"/>
                <w:sz w:val="20"/>
                <w:szCs w:val="20"/>
              </w:rPr>
              <w:t xml:space="preserve">Document Version</w:t>
            </w:r>
          </w:p>
        </w:tc>
        <w:tc>
          <w:tcPr>
            <w:tcW w:type="dxa" w:w="3600"/>
            <w:tcBorders>
              <w:top w:val="single" w:color="DDDDDD" w:sz="1"/>
              <w:left w:val="single" w:color="DDDDDD" w:sz="1"/>
              <w:bottom w:val="single" w:color="DDDDDD" w:sz="1"/>
              <w:right w:val="single" w:color="DDDDDD" w:sz="1"/>
            </w:tcBorders>
            <w:tcMar>
              <w:top w:type="dxa" w:w="100"/>
              <w:left w:type="dxa" w:w="200"/>
              <w:bottom w:type="dxa" w:w="100"/>
              <w:right w:type="dxa" w:w="200"/>
            </w:tcMar>
          </w:tcPr>
          <w:p>
            <w:r>
              <w:rPr>
                <w:rFonts w:ascii="Arial" w:cs="Arial" w:eastAsia="Arial" w:hAnsi="Arial"/>
                <w:color w:val="1A1A2E"/>
                <w:sz w:val="20"/>
                <w:szCs w:val="20"/>
              </w:rPr>
              <w:t xml:space="preserve">1.0</w:t>
            </w:r>
          </w:p>
        </w:tc>
      </w:tr>
      <w:tr>
        <w:tc>
          <w:tcPr>
            <w:tcW w:type="dxa" w:w="2400"/>
            <w:tcBorders>
              <w:top w:val="single" w:color="DDDDDD" w:sz="1"/>
              <w:left w:val="single" w:color="DDDDDD" w:sz="1"/>
              <w:bottom w:val="single" w:color="DDDDDD" w:sz="1"/>
              <w:right w:val="single" w:color="DDDDDD" w:sz="1"/>
            </w:tcBorders>
            <w:shd w:fill="E8EBF7" w:val="clear"/>
            <w:tcMar>
              <w:top w:type="dxa" w:w="100"/>
              <w:left w:type="dxa" w:w="200"/>
              <w:bottom w:type="dxa" w:w="100"/>
              <w:right w:type="dxa" w:w="200"/>
            </w:tcMar>
          </w:tcPr>
          <w:p>
            <w:r>
              <w:rPr>
                <w:rFonts w:ascii="Arial" w:cs="Arial" w:eastAsia="Arial" w:hAnsi="Arial"/>
                <w:b/>
                <w:bCs/>
                <w:color w:val="1F3A93"/>
                <w:sz w:val="20"/>
                <w:szCs w:val="20"/>
              </w:rPr>
              <w:t xml:space="preserve">Date</w:t>
            </w:r>
          </w:p>
        </w:tc>
        <w:tc>
          <w:tcPr>
            <w:tcW w:type="dxa" w:w="3600"/>
            <w:tcBorders>
              <w:top w:val="single" w:color="DDDDDD" w:sz="1"/>
              <w:left w:val="single" w:color="DDDDDD" w:sz="1"/>
              <w:bottom w:val="single" w:color="DDDDDD" w:sz="1"/>
              <w:right w:val="single" w:color="DDDDDD" w:sz="1"/>
            </w:tcBorders>
            <w:tcMar>
              <w:top w:type="dxa" w:w="100"/>
              <w:left w:type="dxa" w:w="200"/>
              <w:bottom w:type="dxa" w:w="100"/>
              <w:right w:type="dxa" w:w="200"/>
            </w:tcMar>
          </w:tcPr>
          <w:p>
            <w:r>
              <w:rPr>
                <w:rFonts w:ascii="Arial" w:cs="Arial" w:eastAsia="Arial" w:hAnsi="Arial"/>
                <w:color w:val="1A1A2E"/>
                <w:sz w:val="20"/>
                <w:szCs w:val="20"/>
              </w:rPr>
              <w:t xml:space="preserve">June 19, 2026</w:t>
            </w:r>
          </w:p>
        </w:tc>
      </w:tr>
      <w:tr>
        <w:tc>
          <w:tcPr>
            <w:tcW w:type="dxa" w:w="2400"/>
            <w:tcBorders>
              <w:top w:val="single" w:color="DDDDDD" w:sz="1"/>
              <w:left w:val="single" w:color="DDDDDD" w:sz="1"/>
              <w:bottom w:val="single" w:color="DDDDDD" w:sz="1"/>
              <w:right w:val="single" w:color="DDDDDD" w:sz="1"/>
            </w:tcBorders>
            <w:shd w:fill="E8EBF7" w:val="clear"/>
            <w:tcMar>
              <w:top w:type="dxa" w:w="100"/>
              <w:left w:type="dxa" w:w="200"/>
              <w:bottom w:type="dxa" w:w="100"/>
              <w:right w:type="dxa" w:w="200"/>
            </w:tcMar>
          </w:tcPr>
          <w:p>
            <w:r>
              <w:rPr>
                <w:rFonts w:ascii="Arial" w:cs="Arial" w:eastAsia="Arial" w:hAnsi="Arial"/>
                <w:b/>
                <w:bCs/>
                <w:color w:val="1F3A93"/>
                <w:sz w:val="20"/>
                <w:szCs w:val="20"/>
              </w:rPr>
              <w:t xml:space="preserve">Status</w:t>
            </w:r>
          </w:p>
        </w:tc>
        <w:tc>
          <w:tcPr>
            <w:tcW w:type="dxa" w:w="3600"/>
            <w:tcBorders>
              <w:top w:val="single" w:color="DDDDDD" w:sz="1"/>
              <w:left w:val="single" w:color="DDDDDD" w:sz="1"/>
              <w:bottom w:val="single" w:color="DDDDDD" w:sz="1"/>
              <w:right w:val="single" w:color="DDDDDD" w:sz="1"/>
            </w:tcBorders>
            <w:tcMar>
              <w:top w:type="dxa" w:w="100"/>
              <w:left w:type="dxa" w:w="200"/>
              <w:bottom w:type="dxa" w:w="100"/>
              <w:right w:type="dxa" w:w="200"/>
            </w:tcMar>
          </w:tcPr>
          <w:p>
            <w:r>
              <w:rPr>
                <w:rFonts w:ascii="Arial" w:cs="Arial" w:eastAsia="Arial" w:hAnsi="Arial"/>
                <w:b/>
                <w:bCs/>
                <w:color w:val="27AE60"/>
                <w:sz w:val="20"/>
                <w:szCs w:val="20"/>
              </w:rPr>
              <w:t xml:space="preserve">Final — All tests passed</w:t>
            </w:r>
          </w:p>
        </w:tc>
      </w:tr>
      <w:tr>
        <w:tc>
          <w:tcPr>
            <w:tcW w:type="dxa" w:w="2400"/>
            <w:tcBorders>
              <w:top w:val="single" w:color="DDDDDD" w:sz="1"/>
              <w:left w:val="single" w:color="DDDDDD" w:sz="1"/>
              <w:bottom w:val="single" w:color="DDDDDD" w:sz="1"/>
              <w:right w:val="single" w:color="DDDDDD" w:sz="1"/>
            </w:tcBorders>
            <w:shd w:fill="E8EBF7" w:val="clear"/>
            <w:tcMar>
              <w:top w:type="dxa" w:w="100"/>
              <w:left w:type="dxa" w:w="200"/>
              <w:bottom w:type="dxa" w:w="100"/>
              <w:right w:type="dxa" w:w="200"/>
            </w:tcMar>
          </w:tcPr>
          <w:p>
            <w:r>
              <w:rPr>
                <w:rFonts w:ascii="Arial" w:cs="Arial" w:eastAsia="Arial" w:hAnsi="Arial"/>
                <w:b/>
                <w:bCs/>
                <w:color w:val="1F3A93"/>
                <w:sz w:val="20"/>
                <w:szCs w:val="20"/>
              </w:rPr>
              <w:t xml:space="preserve">Platform</w:t>
            </w:r>
          </w:p>
        </w:tc>
        <w:tc>
          <w:tcPr>
            <w:tcW w:type="dxa" w:w="3600"/>
            <w:tcBorders>
              <w:top w:val="single" w:color="DDDDDD" w:sz="1"/>
              <w:left w:val="single" w:color="DDDDDD" w:sz="1"/>
              <w:bottom w:val="single" w:color="DDDDDD" w:sz="1"/>
              <w:right w:val="single" w:color="DDDDDD" w:sz="1"/>
            </w:tcBorders>
            <w:tcMar>
              <w:top w:type="dxa" w:w="100"/>
              <w:left w:type="dxa" w:w="200"/>
              <w:bottom w:type="dxa" w:w="100"/>
              <w:right w:type="dxa" w:w="200"/>
            </w:tcMar>
          </w:tcPr>
          <w:p>
            <w:r>
              <w:rPr>
                <w:rFonts w:ascii="Arial" w:cs="Arial" w:eastAsia="Arial" w:hAnsi="Arial"/>
                <w:color w:val="1A1A2E"/>
                <w:sz w:val="20"/>
                <w:szCs w:val="20"/>
              </w:rPr>
              <w:t xml:space="preserve">Fastify (Node.js) + React + PostgreSQL</w:t>
            </w:r>
          </w:p>
        </w:tc>
      </w:tr>
      <w:tr>
        <w:tc>
          <w:tcPr>
            <w:tcW w:type="dxa" w:w="2400"/>
            <w:tcBorders>
              <w:top w:val="single" w:color="DDDDDD" w:sz="1"/>
              <w:left w:val="single" w:color="DDDDDD" w:sz="1"/>
              <w:bottom w:val="single" w:color="DDDDDD" w:sz="1"/>
              <w:right w:val="single" w:color="DDDDDD" w:sz="1"/>
            </w:tcBorders>
            <w:shd w:fill="E8EBF7" w:val="clear"/>
            <w:tcMar>
              <w:top w:type="dxa" w:w="100"/>
              <w:left w:type="dxa" w:w="200"/>
              <w:bottom w:type="dxa" w:w="100"/>
              <w:right w:type="dxa" w:w="200"/>
            </w:tcMar>
          </w:tcPr>
          <w:p>
            <w:r>
              <w:rPr>
                <w:rFonts w:ascii="Arial" w:cs="Arial" w:eastAsia="Arial" w:hAnsi="Arial"/>
                <w:b/>
                <w:bCs/>
                <w:color w:val="1F3A93"/>
                <w:sz w:val="20"/>
                <w:szCs w:val="20"/>
              </w:rPr>
              <w:t xml:space="preserve">Applies to</w:t>
            </w:r>
          </w:p>
        </w:tc>
        <w:tc>
          <w:tcPr>
            <w:tcW w:type="dxa" w:w="3600"/>
            <w:tcBorders>
              <w:top w:val="single" w:color="DDDDDD" w:sz="1"/>
              <w:left w:val="single" w:color="DDDDDD" w:sz="1"/>
              <w:bottom w:val="single" w:color="DDDDDD" w:sz="1"/>
              <w:right w:val="single" w:color="DDDDDD" w:sz="1"/>
            </w:tcBorders>
            <w:tcMar>
              <w:top w:type="dxa" w:w="100"/>
              <w:left w:type="dxa" w:w="200"/>
              <w:bottom w:type="dxa" w:w="100"/>
              <w:right w:type="dxa" w:w="200"/>
            </w:tcMar>
          </w:tcPr>
          <w:p>
            <w:r>
              <w:rPr>
                <w:rFonts w:ascii="Arial" w:cs="Arial" w:eastAsia="Arial" w:hAnsi="Arial"/>
                <w:color w:val="1A1A2E"/>
                <w:sz w:val="20"/>
                <w:szCs w:val="20"/>
              </w:rPr>
              <w:t xml:space="preserve">Tenant Sales + Super Admin Platform Invoicing</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A93" w:sz="6" w:space="8"/>
        </w:pBdr>
        <w:spacing w:after="160" w:before="480"/>
      </w:pPr>
      <w:bookmarkStart w:name="overview" w:id="1"/>
      <w:r>
        <w:rPr>
          <w:rFonts w:ascii="Arial" w:cs="Arial" w:eastAsia="Arial" w:hAnsi="Arial"/>
          <w:b/>
          <w:bCs/>
          <w:color w:val="1A1A2E"/>
          <w:sz w:val="36"/>
          <w:szCs w:val="36"/>
        </w:rPr>
        <w:t xml:space="preserve">1. Overview</w:t>
      </w:r>
      <w:bookmarkEnd w:id="1"/>
    </w:p>
    <w:p>
      <w:pPr>
        <w:spacing w:after="80" w:before="80"/>
      </w:pPr>
      <w:r>
        <w:rPr>
          <w:rFonts w:ascii="Arial" w:cs="Arial" w:eastAsia="Arial" w:hAnsi="Arial"/>
          <w:color w:val="555555"/>
          <w:sz w:val="22"/>
          <w:szCs w:val="22"/>
        </w:rPr>
        <w:t xml:space="preserve">This document describes the design and implementation of the Sales &amp; Invoicing module delivered in Session 2 of the CRM Platform project. It covers the full-stack changes introduced in this session: the visual invoice template builder, the database-backed template management system, DOCX template upload and server-side merge-field rendering, and supporting API and frontend wiring.</w:t>
      </w:r>
    </w:p>
    <w:p>
      <w:pPr>
        <w:spacing w:after="0" w:before="120"/>
      </w:pPr>
      <w:r>
        <w:t xml:space="preserve"/>
      </w:r>
    </w:p>
    <w:p>
      <w:pPr>
        <w:spacing w:after="80" w:before="80"/>
      </w:pPr>
      <w:r>
        <w:rPr>
          <w:rFonts w:ascii="Arial" w:cs="Arial" w:eastAsia="Arial" w:hAnsi="Arial"/>
          <w:color w:val="555555"/>
          <w:sz w:val="22"/>
          <w:szCs w:val="22"/>
        </w:rPr>
        <w:t xml:space="preserve">All features apply to two consumers:</w:t>
      </w:r>
    </w:p>
    <w:p>
      <w:pPr>
        <w:pStyle w:val="ListParagraph"/>
        <w:numPr>
          <w:ilvl w:val="0"/>
          <w:numId w:val="2"/>
        </w:numPr>
        <w:spacing w:after="40" w:before="40"/>
      </w:pPr>
      <w:r>
        <w:rPr>
          <w:rFonts w:ascii="Arial" w:cs="Arial" w:eastAsia="Arial" w:hAnsi="Arial"/>
          <w:b w:val="false"/>
          <w:bCs w:val="false"/>
          <w:color w:val="555555"/>
          <w:sz w:val="22"/>
          <w:szCs w:val="22"/>
        </w:rPr>
        <w:t xml:space="preserve">Tenant Sales module — each tenant manages their own invoice templates and issues invoices to their billing contacts.</w:t>
      </w:r>
    </w:p>
    <w:p>
      <w:pPr>
        <w:pStyle w:val="ListParagraph"/>
        <w:numPr>
          <w:ilvl w:val="0"/>
          <w:numId w:val="2"/>
        </w:numPr>
        <w:spacing w:after="40" w:before="40"/>
      </w:pPr>
      <w:r>
        <w:rPr>
          <w:rFonts w:ascii="Arial" w:cs="Arial" w:eastAsia="Arial" w:hAnsi="Arial"/>
          <w:b w:val="false"/>
          <w:bCs w:val="false"/>
          <w:color w:val="555555"/>
          <w:sz w:val="22"/>
          <w:szCs w:val="22"/>
        </w:rPr>
        <w:t xml:space="preserve">Super Admin platform invoicing — the platform itself uses the same template infrastructure to issue subscription invoices to tenant accounts.</w:t>
      </w:r>
    </w:p>
    <w:p>
      <w:pPr>
        <w:spacing w:after="0" w:before="120"/>
      </w:pPr>
      <w:r>
        <w:t xml:space="preserve"/>
      </w:r>
    </w:p>
    <w:p>
      <w:pPr>
        <w:pStyle w:val="Heading2"/>
        <w:spacing w:after="100" w:before="320"/>
      </w:pPr>
      <w:r>
        <w:rPr>
          <w:rFonts w:ascii="Arial" w:cs="Arial" w:eastAsia="Arial" w:hAnsi="Arial"/>
          <w:b/>
          <w:bCs/>
          <w:color w:val="1F3A93"/>
          <w:sz w:val="28"/>
          <w:szCs w:val="28"/>
        </w:rPr>
        <w:t xml:space="preserve">1.1 Scope of this Document</w:t>
      </w:r>
    </w:p>
    <w:p>
      <w:pPr>
        <w:spacing w:after="80" w:before="80"/>
      </w:pPr>
      <w:r>
        <w:rPr>
          <w:rFonts w:ascii="Arial" w:cs="Arial" w:eastAsia="Arial" w:hAnsi="Arial"/>
          <w:color w:val="555555"/>
          <w:sz w:val="22"/>
          <w:szCs w:val="22"/>
        </w:rPr>
        <w:t xml:space="preserve">This SDD covers only the work performed in Session 2. For platform-wide architecture (auth, RLS, all other modules), refer to the Consolidated SDD.</w:t>
      </w:r>
    </w:p>
    <w:p>
      <w:pPr>
        <w:spacing w:after="0" w:before="120"/>
      </w:pPr>
      <w:r>
        <w:t xml:space="preserve"/>
      </w:r>
    </w:p>
    <w:p>
      <w:pPr>
        <w:pStyle w:val="Heading2"/>
        <w:spacing w:after="100" w:before="320"/>
      </w:pPr>
      <w:r>
        <w:rPr>
          <w:rFonts w:ascii="Arial" w:cs="Arial" w:eastAsia="Arial" w:hAnsi="Arial"/>
          <w:b/>
          <w:bCs/>
          <w:color w:val="1F3A93"/>
          <w:sz w:val="28"/>
          <w:szCs w:val="28"/>
        </w:rPr>
        <w:t xml:space="preserve">1.2 Components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F3A9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DDDDD" w:sz="1"/>
              <w:left w:val="single" w:color="DDDDDD" w:sz="1"/>
              <w:bottom w:val="single" w:color="DDDDDD" w:sz="1"/>
              <w:right w:val="single" w:color="DDDDDD" w:sz="1"/>
            </w:tcBorders>
            <w:shd w:fill="1F3A93"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000"/>
            <w:tcBorders>
              <w:top w:val="single" w:color="DDDDDD" w:sz="1"/>
              <w:left w:val="single" w:color="DDDDDD" w:sz="1"/>
              <w:bottom w:val="single" w:color="DDDDDD" w:sz="1"/>
              <w:right w:val="single" w:color="DDDDDD" w:sz="1"/>
            </w:tcBorders>
            <w:shd w:fill="F0F3F9" w:val="clear"/>
            <w:tcMar>
              <w:top w:type="dxa" w:w="80"/>
              <w:left w:type="dxa" w:w="120"/>
              <w:bottom w:type="dxa" w:w="80"/>
              <w:right w:type="dxa" w:w="120"/>
            </w:tcMar>
          </w:tcPr>
          <w:p>
            <w:r>
              <w:rPr>
                <w:rFonts w:ascii="Courier New" w:cs="Courier New" w:eastAsia="Courier New" w:hAnsi="Courier New"/>
                <w:color w:val="1A237E"/>
                <w:sz w:val="17"/>
                <w:szCs w:val="17"/>
              </w:rPr>
              <w:t xml:space="preserve">packages/api/src/routes/sales/invoice-templates.ts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NEW — full template CRUD + upload + DOCX render routes</w:t>
            </w:r>
          </w:p>
        </w:tc>
      </w:tr>
      <w:tr>
        <w:tc>
          <w:tcPr>
            <w:tcW w:type="dxa" w:w="3000"/>
            <w:tcBorders>
              <w:top w:val="single" w:color="DDDDDD" w:sz="1"/>
              <w:left w:val="single" w:color="DDDDDD" w:sz="1"/>
              <w:bottom w:val="single" w:color="DDDDDD" w:sz="1"/>
              <w:right w:val="single" w:color="DDDDDD" w:sz="1"/>
            </w:tcBorders>
            <w:shd w:fill="F0F3F9" w:val="clear"/>
            <w:tcMar>
              <w:top w:type="dxa" w:w="80"/>
              <w:left w:type="dxa" w:w="120"/>
              <w:bottom w:type="dxa" w:w="80"/>
              <w:right w:type="dxa" w:w="120"/>
            </w:tcMar>
          </w:tcPr>
          <w:p>
            <w:r>
              <w:rPr>
                <w:rFonts w:ascii="Courier New" w:cs="Courier New" w:eastAsia="Courier New" w:hAnsi="Courier New"/>
                <w:color w:val="1A237E"/>
                <w:sz w:val="17"/>
                <w:szCs w:val="17"/>
              </w:rPr>
              <w:t xml:space="preserve">packages/api/src/routes/sales/invoices.ts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PATCHED — fixed db.withTenant() return destructuring; per-tenant invoice number uniqueness</w:t>
            </w:r>
          </w:p>
        </w:tc>
      </w:tr>
      <w:tr>
        <w:tc>
          <w:tcPr>
            <w:tcW w:type="dxa" w:w="3000"/>
            <w:tcBorders>
              <w:top w:val="single" w:color="DDDDDD" w:sz="1"/>
              <w:left w:val="single" w:color="DDDDDD" w:sz="1"/>
              <w:bottom w:val="single" w:color="DDDDDD" w:sz="1"/>
              <w:right w:val="single" w:color="DDDDDD" w:sz="1"/>
            </w:tcBorders>
            <w:shd w:fill="F0F3F9" w:val="clear"/>
            <w:tcMar>
              <w:top w:type="dxa" w:w="80"/>
              <w:left w:type="dxa" w:w="120"/>
              <w:bottom w:type="dxa" w:w="80"/>
              <w:right w:type="dxa" w:w="120"/>
            </w:tcMar>
          </w:tcPr>
          <w:p>
            <w:r>
              <w:rPr>
                <w:rFonts w:ascii="Courier New" w:cs="Courier New" w:eastAsia="Courier New" w:hAnsi="Courier New"/>
                <w:color w:val="1A237E"/>
                <w:sz w:val="17"/>
                <w:szCs w:val="17"/>
              </w:rPr>
              <w:t xml:space="preserve">packages/api/src/server.ts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UPDATED — registered @fastify/multipart and invoiceTemplateRoutes</w:t>
            </w:r>
          </w:p>
        </w:tc>
      </w:tr>
      <w:tr>
        <w:tc>
          <w:tcPr>
            <w:tcW w:type="dxa" w:w="3000"/>
            <w:tcBorders>
              <w:top w:val="single" w:color="DDDDDD" w:sz="1"/>
              <w:left w:val="single" w:color="DDDDDD" w:sz="1"/>
              <w:bottom w:val="single" w:color="DDDDDD" w:sz="1"/>
              <w:right w:val="single" w:color="DDDDDD" w:sz="1"/>
            </w:tcBorders>
            <w:shd w:fill="F0F3F9" w:val="clear"/>
            <w:tcMar>
              <w:top w:type="dxa" w:w="80"/>
              <w:left w:type="dxa" w:w="120"/>
              <w:bottom w:type="dxa" w:w="80"/>
              <w:right w:type="dxa" w:w="120"/>
            </w:tcMar>
          </w:tcPr>
          <w:p>
            <w:r>
              <w:rPr>
                <w:rFonts w:ascii="Courier New" w:cs="Courier New" w:eastAsia="Courier New" w:hAnsi="Courier New"/>
                <w:color w:val="1A237E"/>
                <w:sz w:val="17"/>
                <w:szCs w:val="17"/>
              </w:rPr>
              <w:t xml:space="preserve">packages/frontend/src/pages/sales/SalesBuilder.tsx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FULL REWRITE — drag-and-drop builder with sortable canvas</w:t>
            </w:r>
          </w:p>
        </w:tc>
      </w:tr>
      <w:tr>
        <w:tc>
          <w:tcPr>
            <w:tcW w:type="dxa" w:w="3000"/>
            <w:tcBorders>
              <w:top w:val="single" w:color="DDDDDD" w:sz="1"/>
              <w:left w:val="single" w:color="DDDDDD" w:sz="1"/>
              <w:bottom w:val="single" w:color="DDDDDD" w:sz="1"/>
              <w:right w:val="single" w:color="DDDDDD" w:sz="1"/>
            </w:tcBorders>
            <w:shd w:fill="F0F3F9" w:val="clear"/>
            <w:tcMar>
              <w:top w:type="dxa" w:w="80"/>
              <w:left w:type="dxa" w:w="120"/>
              <w:bottom w:type="dxa" w:w="80"/>
              <w:right w:type="dxa" w:w="120"/>
            </w:tcMar>
          </w:tcPr>
          <w:p>
            <w:r>
              <w:rPr>
                <w:rFonts w:ascii="Courier New" w:cs="Courier New" w:eastAsia="Courier New" w:hAnsi="Courier New"/>
                <w:color w:val="1A237E"/>
                <w:sz w:val="17"/>
                <w:szCs w:val="17"/>
              </w:rPr>
              <w:t xml:space="preserve">packages/frontend/src/pages/sales/SalesTemplates.tsx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FULL REWRITE — three-tab template manager with upload</w:t>
            </w:r>
          </w:p>
        </w:tc>
      </w:tr>
      <w:tr>
        <w:tc>
          <w:tcPr>
            <w:tcW w:type="dxa" w:w="3000"/>
            <w:tcBorders>
              <w:top w:val="single" w:color="DDDDDD" w:sz="1"/>
              <w:left w:val="single" w:color="DDDDDD" w:sz="1"/>
              <w:bottom w:val="single" w:color="DDDDDD" w:sz="1"/>
              <w:right w:val="single" w:color="DDDDDD" w:sz="1"/>
            </w:tcBorders>
            <w:shd w:fill="F0F3F9" w:val="clear"/>
            <w:tcMar>
              <w:top w:type="dxa" w:w="80"/>
              <w:left w:type="dxa" w:w="120"/>
              <w:bottom w:type="dxa" w:w="80"/>
              <w:right w:type="dxa" w:w="120"/>
            </w:tcMar>
          </w:tcPr>
          <w:p>
            <w:r>
              <w:rPr>
                <w:rFonts w:ascii="Courier New" w:cs="Courier New" w:eastAsia="Courier New" w:hAnsi="Courier New"/>
                <w:color w:val="1A237E"/>
                <w:sz w:val="17"/>
                <w:szCs w:val="17"/>
              </w:rPr>
              <w:t xml:space="preserve">packages/frontend/src/pages/sales/InvoiceCreate.tsx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UPDATED — template selector wired to DB saved templates</w:t>
            </w:r>
          </w:p>
        </w:tc>
      </w:tr>
      <w:tr>
        <w:tc>
          <w:tcPr>
            <w:tcW w:type="dxa" w:w="3000"/>
            <w:tcBorders>
              <w:top w:val="single" w:color="DDDDDD" w:sz="1"/>
              <w:left w:val="single" w:color="DDDDDD" w:sz="1"/>
              <w:bottom w:val="single" w:color="DDDDDD" w:sz="1"/>
              <w:right w:val="single" w:color="DDDDDD" w:sz="1"/>
            </w:tcBorders>
            <w:shd w:fill="F0F3F9" w:val="clear"/>
            <w:tcMar>
              <w:top w:type="dxa" w:w="80"/>
              <w:left w:type="dxa" w:w="120"/>
              <w:bottom w:type="dxa" w:w="80"/>
              <w:right w:type="dxa" w:w="120"/>
            </w:tcMar>
          </w:tcPr>
          <w:p>
            <w:r>
              <w:rPr>
                <w:rFonts w:ascii="Courier New" w:cs="Courier New" w:eastAsia="Courier New" w:hAnsi="Courier New"/>
                <w:color w:val="1A237E"/>
                <w:sz w:val="17"/>
                <w:szCs w:val="17"/>
              </w:rPr>
              <w:t xml:space="preserve">packages/core/src/database/migrations/017_invoice_templates.sql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NEW — invoice_templates table + partial unique index</w:t>
            </w:r>
          </w:p>
        </w:tc>
      </w:tr>
      <w:tr>
        <w:tc>
          <w:tcPr>
            <w:tcW w:type="dxa" w:w="3000"/>
            <w:tcBorders>
              <w:top w:val="single" w:color="DDDDDD" w:sz="1"/>
              <w:left w:val="single" w:color="DDDDDD" w:sz="1"/>
              <w:bottom w:val="single" w:color="DDDDDD" w:sz="1"/>
              <w:right w:val="single" w:color="DDDDDD" w:sz="1"/>
            </w:tcBorders>
            <w:shd w:fill="F0F3F9" w:val="clear"/>
            <w:tcMar>
              <w:top w:type="dxa" w:w="80"/>
              <w:left w:type="dxa" w:w="120"/>
              <w:bottom w:type="dxa" w:w="80"/>
              <w:right w:type="dxa" w:w="120"/>
            </w:tcMar>
          </w:tcPr>
          <w:p>
            <w:r>
              <w:rPr>
                <w:rFonts w:ascii="Courier New" w:cs="Courier New" w:eastAsia="Courier New" w:hAnsi="Courier New"/>
                <w:color w:val="1A237E"/>
                <w:sz w:val="17"/>
                <w:szCs w:val="17"/>
              </w:rPr>
              <w:t xml:space="preserve">packages/shared/src/types/api.ts + api.d.ts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UPDATED — added billing:read and billing:manage to ApiScope union type</w:t>
            </w:r>
          </w:p>
        </w:tc>
      </w:tr>
      <w:tr>
        <w:tc>
          <w:tcPr>
            <w:tcW w:type="dxa" w:w="3000"/>
            <w:tcBorders>
              <w:top w:val="single" w:color="DDDDDD" w:sz="1"/>
              <w:left w:val="single" w:color="DDDDDD" w:sz="1"/>
              <w:bottom w:val="single" w:color="DDDDDD" w:sz="1"/>
              <w:right w:val="single" w:color="DDDDDD" w:sz="1"/>
            </w:tcBorders>
            <w:shd w:fill="F0F3F9" w:val="clear"/>
            <w:tcMar>
              <w:top w:type="dxa" w:w="80"/>
              <w:left w:type="dxa" w:w="120"/>
              <w:bottom w:type="dxa" w:w="80"/>
              <w:right w:type="dxa" w:w="120"/>
            </w:tcMar>
          </w:tcPr>
          <w:p>
            <w:r>
              <w:rPr>
                <w:rFonts w:ascii="Courier New" w:cs="Courier New" w:eastAsia="Courier New" w:hAnsi="Courier New"/>
                <w:color w:val="1A237E"/>
                <w:sz w:val="17"/>
                <w:szCs w:val="17"/>
              </w:rPr>
              <w:t xml:space="preserve">packages/api/src/middlewares/auth.middleware.ts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UPDATED — added billing:read and billing:manage to SCOPE_MIN_ROLE map</w:t>
            </w:r>
          </w:p>
        </w:tc>
      </w:tr>
    </w:tbl>
    <w:p>
      <w:r>
        <w:br w:type="page"/>
      </w:r>
    </w:p>
    <w:p>
      <w:pPr>
        <w:pStyle w:val="Heading1"/>
        <w:pBdr>
          <w:bottom w:val="single" w:color="1F3A93" w:sz="6" w:space="8"/>
        </w:pBdr>
        <w:spacing w:after="160" w:before="480"/>
      </w:pPr>
      <w:bookmarkStart w:name="database" w:id="1"/>
      <w:r>
        <w:rPr>
          <w:rFonts w:ascii="Arial" w:cs="Arial" w:eastAsia="Arial" w:hAnsi="Arial"/>
          <w:b/>
          <w:bCs/>
          <w:color w:val="1A1A2E"/>
          <w:sz w:val="36"/>
          <w:szCs w:val="36"/>
        </w:rPr>
        <w:t xml:space="preserve">2. Database Design</w:t>
      </w:r>
      <w:bookmarkEnd w:id="1"/>
    </w:p>
    <w:p>
      <w:pPr>
        <w:pStyle w:val="Heading2"/>
        <w:spacing w:after="100" w:before="320"/>
      </w:pPr>
      <w:r>
        <w:rPr>
          <w:rFonts w:ascii="Arial" w:cs="Arial" w:eastAsia="Arial" w:hAnsi="Arial"/>
          <w:b/>
          <w:bCs/>
          <w:color w:val="1F3A93"/>
          <w:sz w:val="28"/>
          <w:szCs w:val="28"/>
        </w:rPr>
        <w:t xml:space="preserve">2.1 New Table: invoice_templates</w:t>
      </w:r>
    </w:p>
    <w:p>
      <w:pPr>
        <w:spacing w:after="80" w:before="80"/>
      </w:pPr>
      <w:r>
        <w:rPr>
          <w:rFonts w:ascii="Arial" w:cs="Arial" w:eastAsia="Arial" w:hAnsi="Arial"/>
          <w:color w:val="555555"/>
          <w:sz w:val="22"/>
          <w:szCs w:val="22"/>
        </w:rPr>
        <w:t xml:space="preserve">Stores both builder JSON layouts and uploaded DOCX file references. A partial unique index ensures a tenant can have at most one default template at any given time.</w:t>
      </w:r>
    </w:p>
    <w:p>
      <w:pPr>
        <w:spacing w:after="0" w:before="120"/>
      </w:pPr>
      <w:r>
        <w:t xml:space="preserve"/>
      </w:r>
    </w:p>
    <w:p>
      <w:pPr>
        <w:shd w:fill="F0F3F9" w:val="clear"/>
        <w:spacing w:after="40" w:before="40"/>
        <w:ind w:left="360"/>
      </w:pPr>
      <w:r>
        <w:rPr>
          <w:rFonts w:ascii="Courier New" w:cs="Courier New" w:eastAsia="Courier New" w:hAnsi="Courier New"/>
          <w:color w:val="1A237E"/>
          <w:sz w:val="18"/>
          <w:szCs w:val="18"/>
        </w:rPr>
        <w:t xml:space="preserve">CREATE TABLE invoice_templates (</w:t>
      </w:r>
    </w:p>
    <w:p>
      <w:pPr>
        <w:shd w:fill="F0F3F9" w:val="clear"/>
        <w:spacing w:after="40" w:before="40"/>
        <w:ind w:left="360"/>
      </w:pPr>
      <w:r>
        <w:rPr>
          <w:rFonts w:ascii="Courier New" w:cs="Courier New" w:eastAsia="Courier New" w:hAnsi="Courier New"/>
          <w:color w:val="1A237E"/>
          <w:sz w:val="18"/>
          <w:szCs w:val="18"/>
        </w:rPr>
        <w:t xml:space="preserve">  id          UUID PRIMARY KEY DEFAULT uuid_generate_v4(),</w:t>
      </w:r>
    </w:p>
    <w:p>
      <w:pPr>
        <w:shd w:fill="F0F3F9" w:val="clear"/>
        <w:spacing w:after="40" w:before="40"/>
        <w:ind w:left="360"/>
      </w:pPr>
      <w:r>
        <w:rPr>
          <w:rFonts w:ascii="Courier New" w:cs="Courier New" w:eastAsia="Courier New" w:hAnsi="Courier New"/>
          <w:color w:val="1A237E"/>
          <w:sz w:val="18"/>
          <w:szCs w:val="18"/>
        </w:rPr>
        <w:t xml:space="preserve">  tenant_id   UUID NOT NULL REFERENCES tenants(id) ON DELETE CASCADE,</w:t>
      </w:r>
    </w:p>
    <w:p>
      <w:pPr>
        <w:shd w:fill="F0F3F9" w:val="clear"/>
        <w:spacing w:after="40" w:before="40"/>
        <w:ind w:left="360"/>
      </w:pPr>
      <w:r>
        <w:rPr>
          <w:rFonts w:ascii="Courier New" w:cs="Courier New" w:eastAsia="Courier New" w:hAnsi="Courier New"/>
          <w:color w:val="1A237E"/>
          <w:sz w:val="18"/>
          <w:szCs w:val="18"/>
        </w:rPr>
        <w:t xml:space="preserve">  name        TEXT NOT NULL,</w:t>
      </w:r>
    </w:p>
    <w:p>
      <w:pPr>
        <w:shd w:fill="F0F3F9" w:val="clear"/>
        <w:spacing w:after="40" w:before="40"/>
        <w:ind w:left="360"/>
      </w:pPr>
      <w:r>
        <w:rPr>
          <w:rFonts w:ascii="Courier New" w:cs="Courier New" w:eastAsia="Courier New" w:hAnsi="Courier New"/>
          <w:color w:val="1A237E"/>
          <w:sz w:val="18"/>
          <w:szCs w:val="18"/>
        </w:rPr>
        <w:t xml:space="preserve">  type        TEXT NOT NULL DEFAULT 'builder'</w:t>
      </w:r>
    </w:p>
    <w:p>
      <w:pPr>
        <w:shd w:fill="F0F3F9" w:val="clear"/>
        <w:spacing w:after="40" w:before="40"/>
        <w:ind w:left="360"/>
      </w:pPr>
      <w:r>
        <w:rPr>
          <w:rFonts w:ascii="Courier New" w:cs="Courier New" w:eastAsia="Courier New" w:hAnsi="Courier New"/>
          <w:color w:val="1A237E"/>
          <w:sz w:val="18"/>
          <w:szCs w:val="18"/>
        </w:rPr>
        <w:t xml:space="preserve">               CHECK (type IN ('builder', 'docx')),</w:t>
      </w:r>
    </w:p>
    <w:p>
      <w:pPr>
        <w:shd w:fill="F0F3F9" w:val="clear"/>
        <w:spacing w:after="40" w:before="40"/>
        <w:ind w:left="360"/>
      </w:pPr>
      <w:r>
        <w:rPr>
          <w:rFonts w:ascii="Courier New" w:cs="Courier New" w:eastAsia="Courier New" w:hAnsi="Courier New"/>
          <w:color w:val="1A237E"/>
          <w:sz w:val="18"/>
          <w:szCs w:val="18"/>
        </w:rPr>
        <w:t xml:space="preserve">  layout      JSONB,          -- builder type only</w:t>
      </w:r>
    </w:p>
    <w:p>
      <w:pPr>
        <w:shd w:fill="F0F3F9" w:val="clear"/>
        <w:spacing w:after="40" w:before="40"/>
        <w:ind w:left="360"/>
      </w:pPr>
      <w:r>
        <w:rPr>
          <w:rFonts w:ascii="Courier New" w:cs="Courier New" w:eastAsia="Courier New" w:hAnsi="Courier New"/>
          <w:color w:val="1A237E"/>
          <w:sz w:val="18"/>
          <w:szCs w:val="18"/>
        </w:rPr>
        <w:t xml:space="preserve">  file_path   TEXT,           -- docx type only (server filesystem path)</w:t>
      </w:r>
    </w:p>
    <w:p>
      <w:pPr>
        <w:shd w:fill="F0F3F9" w:val="clear"/>
        <w:spacing w:after="40" w:before="40"/>
        <w:ind w:left="360"/>
      </w:pPr>
      <w:r>
        <w:rPr>
          <w:rFonts w:ascii="Courier New" w:cs="Courier New" w:eastAsia="Courier New" w:hAnsi="Courier New"/>
          <w:color w:val="1A237E"/>
          <w:sz w:val="18"/>
          <w:szCs w:val="18"/>
        </w:rPr>
        <w:t xml:space="preserve">  file_name   TEXT,           -- original uploaded filename</w:t>
      </w:r>
    </w:p>
    <w:p>
      <w:pPr>
        <w:shd w:fill="F0F3F9" w:val="clear"/>
        <w:spacing w:after="40" w:before="40"/>
        <w:ind w:left="360"/>
      </w:pPr>
      <w:r>
        <w:rPr>
          <w:rFonts w:ascii="Courier New" w:cs="Courier New" w:eastAsia="Courier New" w:hAnsi="Courier New"/>
          <w:color w:val="1A237E"/>
          <w:sz w:val="18"/>
          <w:szCs w:val="18"/>
        </w:rPr>
        <w:t xml:space="preserve">  is_default  BOOLEAN NOT NULL DEFAULT false,</w:t>
      </w:r>
    </w:p>
    <w:p>
      <w:pPr>
        <w:shd w:fill="F0F3F9" w:val="clear"/>
        <w:spacing w:after="40" w:before="40"/>
        <w:ind w:left="360"/>
      </w:pPr>
      <w:r>
        <w:rPr>
          <w:rFonts w:ascii="Courier New" w:cs="Courier New" w:eastAsia="Courier New" w:hAnsi="Courier New"/>
          <w:color w:val="1A237E"/>
          <w:sz w:val="18"/>
          <w:szCs w:val="18"/>
        </w:rPr>
        <w:t xml:space="preserve">  created_at  TIMESTAMPTZ NOT NULL DEFAULT NOW(),</w:t>
      </w:r>
    </w:p>
    <w:p>
      <w:pPr>
        <w:shd w:fill="F0F3F9" w:val="clear"/>
        <w:spacing w:after="40" w:before="40"/>
        <w:ind w:left="360"/>
      </w:pPr>
      <w:r>
        <w:rPr>
          <w:rFonts w:ascii="Courier New" w:cs="Courier New" w:eastAsia="Courier New" w:hAnsi="Courier New"/>
          <w:color w:val="1A237E"/>
          <w:sz w:val="18"/>
          <w:szCs w:val="18"/>
        </w:rPr>
        <w:t xml:space="preserve">  updated_at  TIMESTAMPTZ NOT NULL DEFAULT NOW()</w:t>
      </w:r>
    </w:p>
    <w:p>
      <w:pPr>
        <w:shd w:fill="F0F3F9" w:val="clear"/>
        <w:spacing w:after="40" w:before="40"/>
        <w:ind w:left="360"/>
      </w:pPr>
      <w:r>
        <w:rPr>
          <w:rFonts w:ascii="Courier New" w:cs="Courier New" w:eastAsia="Courier New" w:hAnsi="Courier New"/>
          <w:color w:val="1A237E"/>
          <w:sz w:val="18"/>
          <w:szCs w:val="18"/>
        </w:rPr>
        <w:t xml:space="preserve">);</w:t>
      </w:r>
    </w:p>
    <w:p>
      <w:pPr>
        <w:shd w:fill="F0F3F9" w:val="clear"/>
        <w:spacing w:after="40" w:before="40"/>
        <w:ind w:left="360"/>
      </w:pPr>
      <w:r>
        <w:rPr>
          <w:rFonts w:ascii="Courier New" w:cs="Courier New" w:eastAsia="Courier New" w:hAnsi="Courier New"/>
          <w:color w:val="1A237E"/>
          <w:sz w:val="18"/>
          <w:szCs w:val="18"/>
        </w:rPr>
        <w:t xml:space="preserve"/>
      </w:r>
    </w:p>
    <w:p>
      <w:pPr>
        <w:shd w:fill="F0F3F9" w:val="clear"/>
        <w:spacing w:after="40" w:before="40"/>
        <w:ind w:left="360"/>
      </w:pPr>
      <w:r>
        <w:rPr>
          <w:rFonts w:ascii="Courier New" w:cs="Courier New" w:eastAsia="Courier New" w:hAnsi="Courier New"/>
          <w:color w:val="1A237E"/>
          <w:sz w:val="18"/>
          <w:szCs w:val="18"/>
        </w:rPr>
        <w:t xml:space="preserve">-- Only one default per tenant at a time</w:t>
      </w:r>
    </w:p>
    <w:p>
      <w:pPr>
        <w:shd w:fill="F0F3F9" w:val="clear"/>
        <w:spacing w:after="40" w:before="40"/>
        <w:ind w:left="360"/>
      </w:pPr>
      <w:r>
        <w:rPr>
          <w:rFonts w:ascii="Courier New" w:cs="Courier New" w:eastAsia="Courier New" w:hAnsi="Courier New"/>
          <w:color w:val="1A237E"/>
          <w:sz w:val="18"/>
          <w:szCs w:val="18"/>
        </w:rPr>
        <w:t xml:space="preserve">CREATE UNIQUE INDEX uq_invoice_templates_default</w:t>
      </w:r>
    </w:p>
    <w:p>
      <w:pPr>
        <w:shd w:fill="F0F3F9" w:val="clear"/>
        <w:spacing w:after="40" w:before="40"/>
        <w:ind w:left="360"/>
      </w:pPr>
      <w:r>
        <w:rPr>
          <w:rFonts w:ascii="Courier New" w:cs="Courier New" w:eastAsia="Courier New" w:hAnsi="Courier New"/>
          <w:color w:val="1A237E"/>
          <w:sz w:val="18"/>
          <w:szCs w:val="18"/>
        </w:rPr>
        <w:t xml:space="preserve">  ON invoice_templates (tenant_id) WHERE is_default = true;</w:t>
      </w:r>
    </w:p>
    <w:p>
      <w:pPr>
        <w:shd w:fill="F0F3F9" w:val="clear"/>
        <w:spacing w:after="40" w:before="40"/>
        <w:ind w:left="360"/>
      </w:pPr>
      <w:r>
        <w:rPr>
          <w:rFonts w:ascii="Courier New" w:cs="Courier New" w:eastAsia="Courier New" w:hAnsi="Courier New"/>
          <w:color w:val="1A237E"/>
          <w:sz w:val="18"/>
          <w:szCs w:val="18"/>
        </w:rPr>
        <w:t xml:space="preserve"/>
      </w:r>
    </w:p>
    <w:p>
      <w:pPr>
        <w:shd w:fill="F0F3F9" w:val="clear"/>
        <w:spacing w:after="40" w:before="40"/>
        <w:ind w:left="360"/>
      </w:pPr>
      <w:r>
        <w:rPr>
          <w:rFonts w:ascii="Courier New" w:cs="Courier New" w:eastAsia="Courier New" w:hAnsi="Courier New"/>
          <w:color w:val="1A237E"/>
          <w:sz w:val="18"/>
          <w:szCs w:val="18"/>
        </w:rPr>
        <w:t xml:space="preserve">GRANT ALL ON invoice_templates TO crm;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1F3A9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920"/>
            <w:tcBorders>
              <w:top w:val="single" w:color="DDDDDD" w:sz="1"/>
              <w:left w:val="single" w:color="DDDDDD" w:sz="1"/>
              <w:bottom w:val="single" w:color="DDDDDD" w:sz="1"/>
              <w:right w:val="single" w:color="DDDDDD" w:sz="1"/>
            </w:tcBorders>
            <w:shd w:fill="E8EBF7" w:val="clear"/>
            <w:tcMar>
              <w:top w:type="dxa" w:w="100"/>
              <w:left w:type="dxa" w:w="160"/>
              <w:bottom w:type="dxa" w:w="100"/>
              <w:right w:type="dxa" w:w="120"/>
            </w:tcMar>
          </w:tcPr>
          <w:p>
            <w:r>
              <w:rPr>
                <w:rFonts w:ascii="Arial" w:cs="Arial" w:eastAsia="Arial" w:hAnsi="Arial"/>
                <w:color w:val="1A1A2E"/>
                <w:sz w:val="22"/>
                <w:szCs w:val="22"/>
              </w:rPr>
              <w:t xml:space="preserve">The partial unique index (WHERE is_default = true) means the constraint only applies to rows where is_default is true. Multiple non-default templates per tenant are unrestricted. Setting a new default requires first clearing the existing one in a transaction.</w:t>
            </w:r>
          </w:p>
        </w:tc>
      </w:tr>
    </w:tbl>
    <w:p>
      <w:pPr>
        <w:spacing w:after="0" w:before="120"/>
      </w:pPr>
      <w:r>
        <w:t xml:space="preserve"/>
      </w:r>
    </w:p>
    <w:p>
      <w:pPr>
        <w:pStyle w:val="Heading2"/>
        <w:spacing w:after="100" w:before="320"/>
      </w:pPr>
      <w:r>
        <w:rPr>
          <w:rFonts w:ascii="Arial" w:cs="Arial" w:eastAsia="Arial" w:hAnsi="Arial"/>
          <w:b/>
          <w:bCs/>
          <w:color w:val="1F3A93"/>
          <w:sz w:val="28"/>
          <w:szCs w:val="28"/>
        </w:rPr>
        <w:t xml:space="preserve">2.2 Bug Fix: Invoice Number Uniqueness</w:t>
      </w:r>
    </w:p>
    <w:p>
      <w:pPr>
        <w:spacing w:after="80" w:before="80"/>
      </w:pPr>
      <w:r>
        <w:rPr>
          <w:rFonts w:ascii="Arial" w:cs="Arial" w:eastAsia="Arial" w:hAnsi="Arial"/>
          <w:color w:val="555555"/>
          <w:sz w:val="22"/>
          <w:szCs w:val="22"/>
        </w:rPr>
        <w:t xml:space="preserve">The invoices table had a global UNIQUE constraint on invoice_number, causing cross-tenant collisions when any two tenants both had an INV-0001. Fixed with a targeted migration:</w:t>
      </w:r>
    </w:p>
    <w:p>
      <w:pPr>
        <w:spacing w:after="0" w:before="120"/>
      </w:pPr>
      <w:r>
        <w:t xml:space="preserve"/>
      </w:r>
    </w:p>
    <w:p>
      <w:pPr>
        <w:shd w:fill="F0F3F9" w:val="clear"/>
        <w:spacing w:after="40" w:before="40"/>
        <w:ind w:left="360"/>
      </w:pPr>
      <w:r>
        <w:rPr>
          <w:rFonts w:ascii="Courier New" w:cs="Courier New" w:eastAsia="Courier New" w:hAnsi="Courier New"/>
          <w:color w:val="1A237E"/>
          <w:sz w:val="18"/>
          <w:szCs w:val="18"/>
        </w:rPr>
        <w:t xml:space="preserve">ALTER TABLE invoices DROP CONSTRAINT invoices_invoice_number_key;</w:t>
      </w:r>
    </w:p>
    <w:p>
      <w:pPr>
        <w:shd w:fill="F0F3F9" w:val="clear"/>
        <w:spacing w:after="40" w:before="40"/>
        <w:ind w:left="360"/>
      </w:pPr>
      <w:r>
        <w:rPr>
          <w:rFonts w:ascii="Courier New" w:cs="Courier New" w:eastAsia="Courier New" w:hAnsi="Courier New"/>
          <w:color w:val="1A237E"/>
          <w:sz w:val="18"/>
          <w:szCs w:val="18"/>
        </w:rPr>
        <w:t xml:space="preserve">ALTER TABLE invoices ADD CONSTRAINT invoices_tenant_number_key</w:t>
      </w:r>
    </w:p>
    <w:p>
      <w:pPr>
        <w:shd w:fill="F0F3F9" w:val="clear"/>
        <w:spacing w:after="40" w:before="40"/>
        <w:ind w:left="360"/>
      </w:pPr>
      <w:r>
        <w:rPr>
          <w:rFonts w:ascii="Courier New" w:cs="Courier New" w:eastAsia="Courier New" w:hAnsi="Courier New"/>
          <w:color w:val="1A237E"/>
          <w:sz w:val="18"/>
          <w:szCs w:val="18"/>
        </w:rPr>
        <w:t xml:space="preserve">  UNIQUE (tenant_id, invoice_number);</w:t>
      </w:r>
    </w:p>
    <w:p>
      <w:pPr>
        <w:spacing w:after="0" w:before="120"/>
      </w:pPr>
      <w:r>
        <w:t xml:space="preserve"/>
      </w:r>
    </w:p>
    <w:p>
      <w:pPr>
        <w:pStyle w:val="Heading2"/>
        <w:spacing w:after="100" w:before="320"/>
      </w:pPr>
      <w:r>
        <w:rPr>
          <w:rFonts w:ascii="Arial" w:cs="Arial" w:eastAsia="Arial" w:hAnsi="Arial"/>
          <w:b/>
          <w:bCs/>
          <w:color w:val="1F3A93"/>
          <w:sz w:val="28"/>
          <w:szCs w:val="28"/>
        </w:rPr>
        <w:t xml:space="preserve">2.3 RLS Coverage</w:t>
      </w:r>
    </w:p>
    <w:p>
      <w:pPr>
        <w:spacing w:after="80" w:before="80"/>
      </w:pPr>
      <w:r>
        <w:rPr>
          <w:rFonts w:ascii="Arial" w:cs="Arial" w:eastAsia="Arial" w:hAnsi="Arial"/>
          <w:color w:val="555555"/>
          <w:sz w:val="22"/>
          <w:szCs w:val="22"/>
        </w:rPr>
        <w:t xml:space="preserve">The invoice_templates table inherits the standard RLS pattern. A policy restricts all SELECT, INSERT, UPDATE, DELETE operations to rows where tenant_id matches the current_setting('app.tenant_id'). Super-admin bypass is achieved via db.withSuperAdmin() which sets the session role to a privileged role not subject to RLS policies.</w:t>
      </w:r>
    </w:p>
    <w:p>
      <w:r>
        <w:br w:type="page"/>
      </w:r>
    </w:p>
    <w:p>
      <w:pPr>
        <w:pStyle w:val="Heading1"/>
        <w:pBdr>
          <w:bottom w:val="single" w:color="1F3A93" w:sz="6" w:space="8"/>
        </w:pBdr>
        <w:spacing w:after="160" w:before="480"/>
      </w:pPr>
      <w:bookmarkStart w:name="api" w:id="1"/>
      <w:r>
        <w:rPr>
          <w:rFonts w:ascii="Arial" w:cs="Arial" w:eastAsia="Arial" w:hAnsi="Arial"/>
          <w:b/>
          <w:bCs/>
          <w:color w:val="1A1A2E"/>
          <w:sz w:val="36"/>
          <w:szCs w:val="36"/>
        </w:rPr>
        <w:t xml:space="preserve">3. API Design</w:t>
      </w:r>
      <w:bookmarkEnd w:id="1"/>
    </w:p>
    <w:p>
      <w:pPr>
        <w:pStyle w:val="Heading2"/>
        <w:spacing w:after="100" w:before="320"/>
      </w:pPr>
      <w:r>
        <w:rPr>
          <w:rFonts w:ascii="Arial" w:cs="Arial" w:eastAsia="Arial" w:hAnsi="Arial"/>
          <w:b/>
          <w:bCs/>
          <w:color w:val="1F3A93"/>
          <w:sz w:val="28"/>
          <w:szCs w:val="28"/>
        </w:rPr>
        <w:t xml:space="preserve">3.1 Invoice Templates API</w:t>
      </w:r>
    </w:p>
    <w:p>
      <w:pPr>
        <w:spacing w:after="80" w:before="80"/>
      </w:pPr>
      <w:r>
        <w:rPr>
          <w:rFonts w:ascii="Arial" w:cs="Arial" w:eastAsia="Arial" w:hAnsi="Arial"/>
          <w:color w:val="555555"/>
          <w:sz w:val="22"/>
          <w:szCs w:val="22"/>
        </w:rPr>
        <w:t xml:space="preserve">All routes are mounted at /api/v1/sales/templates. Authentication is required on all routes (enforced by the global auth hook in server.ts). Authorization is scope-based via requireScope().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440"/>
        <w:gridCol w:w="4800"/>
      </w:tblGrid>
      <w:tr>
        <w:trPr>
          <w:tblHeader/>
        </w:trPr>
        <w:tc>
          <w:tcPr>
            <w:tcW w:type="dxa" w:w="7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72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Courier New" w:cs="Courier New" w:eastAsia="Courier New" w:hAnsi="Courier New"/>
                <w:b/>
                <w:bCs/>
                <w:color w:val="27AE60"/>
                <w:sz w:val="18"/>
                <w:szCs w:val="18"/>
              </w:rPr>
              <w:t xml:space="preserve">GET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/merge-fields</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C3483"/>
                <w:sz w:val="18"/>
                <w:szCs w:val="18"/>
              </w:rPr>
              <w:t xml:space="preserve">contacts:read</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Returns the 18 predefined merge field definitions for DOCX templates</w:t>
            </w:r>
          </w:p>
        </w:tc>
      </w:tr>
      <w:tr>
        <w:tc>
          <w:tcPr>
            <w:tcW w:type="dxa" w:w="72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Courier New" w:cs="Courier New" w:eastAsia="Courier New" w:hAnsi="Courier New"/>
                <w:b/>
                <w:bCs/>
                <w:color w:val="27AE60"/>
                <w:sz w:val="18"/>
                <w:szCs w:val="18"/>
              </w:rPr>
              <w:t xml:space="preserve">GET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C3483"/>
                <w:sz w:val="18"/>
                <w:szCs w:val="18"/>
              </w:rPr>
              <w:t xml:space="preserve">billing:read</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List all templates for the current tenant (layout excluded for docx type)</w:t>
            </w:r>
          </w:p>
        </w:tc>
      </w:tr>
      <w:tr>
        <w:tc>
          <w:tcPr>
            <w:tcW w:type="dxa" w:w="720"/>
            <w:tcBorders>
              <w:top w:val="single" w:color="DDDDDD" w:sz="1"/>
              <w:left w:val="single" w:color="DDDDDD" w:sz="1"/>
              <w:bottom w:val="single" w:color="DDDDDD" w:sz="1"/>
              <w:right w:val="single" w:color="DDDDDD" w:sz="1"/>
            </w:tcBorders>
            <w:shd w:fill="E8EBF7" w:val="clear"/>
            <w:tcMar>
              <w:top w:type="dxa" w:w="80"/>
              <w:left w:type="dxa" w:w="120"/>
              <w:bottom w:type="dxa" w:w="80"/>
              <w:right w:type="dxa" w:w="120"/>
            </w:tcMar>
          </w:tcPr>
          <w:p>
            <w:r>
              <w:rPr>
                <w:rFonts w:ascii="Courier New" w:cs="Courier New" w:eastAsia="Courier New" w:hAnsi="Courier New"/>
                <w:b/>
                <w:bCs/>
                <w:color w:val="1F3A93"/>
                <w:sz w:val="18"/>
                <w:szCs w:val="18"/>
              </w:rPr>
              <w:t xml:space="preserve">POST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C3483"/>
                <w:sz w:val="18"/>
                <w:szCs w:val="18"/>
              </w:rPr>
              <w:t xml:space="preserve">billing:manage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Save a new builder-type template with JSON layout</w:t>
            </w:r>
          </w:p>
        </w:tc>
      </w:tr>
      <w:tr>
        <w:tc>
          <w:tcPr>
            <w:tcW w:type="dxa" w:w="72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Courier New" w:cs="Courier New" w:eastAsia="Courier New" w:hAnsi="Courier New"/>
                <w:b/>
                <w:bCs/>
                <w:color w:val="E67E22"/>
                <w:sz w:val="18"/>
                <w:szCs w:val="18"/>
              </w:rPr>
              <w:t xml:space="preserve">PATCH</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/:id</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C3483"/>
                <w:sz w:val="18"/>
                <w:szCs w:val="18"/>
              </w:rPr>
              <w:t xml:space="preserve">billing:manage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Update name, layout, or set as default (auto-clears previous default)</w:t>
            </w:r>
          </w:p>
        </w:tc>
      </w:tr>
      <w:tr>
        <w:tc>
          <w:tcPr>
            <w:tcW w:type="dxa" w:w="72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DELETE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/:id</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C3483"/>
                <w:sz w:val="18"/>
                <w:szCs w:val="18"/>
              </w:rPr>
              <w:t xml:space="preserve">billing:manage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Delete a template (file not removed from disk)</w:t>
            </w:r>
          </w:p>
        </w:tc>
      </w:tr>
      <w:tr>
        <w:tc>
          <w:tcPr>
            <w:tcW w:type="dxa" w:w="720"/>
            <w:tcBorders>
              <w:top w:val="single" w:color="DDDDDD" w:sz="1"/>
              <w:left w:val="single" w:color="DDDDDD" w:sz="1"/>
              <w:bottom w:val="single" w:color="DDDDDD" w:sz="1"/>
              <w:right w:val="single" w:color="DDDDDD" w:sz="1"/>
            </w:tcBorders>
            <w:shd w:fill="E8EBF7" w:val="clear"/>
            <w:tcMar>
              <w:top w:type="dxa" w:w="80"/>
              <w:left w:type="dxa" w:w="120"/>
              <w:bottom w:type="dxa" w:w="80"/>
              <w:right w:type="dxa" w:w="120"/>
            </w:tcMar>
          </w:tcPr>
          <w:p>
            <w:r>
              <w:rPr>
                <w:rFonts w:ascii="Courier New" w:cs="Courier New" w:eastAsia="Courier New" w:hAnsi="Courier New"/>
                <w:b/>
                <w:bCs/>
                <w:color w:val="1F3A93"/>
                <w:sz w:val="18"/>
                <w:szCs w:val="18"/>
              </w:rPr>
              <w:t xml:space="preserve">POST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/upload</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C3483"/>
                <w:sz w:val="18"/>
                <w:szCs w:val="18"/>
              </w:rPr>
              <w:t xml:space="preserve">billing:manage</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Upload a .docx or .html file; stores to uploads/templates/{tenant_id}/</w:t>
            </w:r>
          </w:p>
        </w:tc>
      </w:tr>
      <w:tr>
        <w:tc>
          <w:tcPr>
            <w:tcW w:type="dxa" w:w="720"/>
            <w:tcBorders>
              <w:top w:val="single" w:color="DDDDDD" w:sz="1"/>
              <w:left w:val="single" w:color="DDDDDD" w:sz="1"/>
              <w:bottom w:val="single" w:color="DDDDDD" w:sz="1"/>
              <w:right w:val="single" w:color="DDDDDD" w:sz="1"/>
            </w:tcBorders>
            <w:shd w:fill="E8EBF7" w:val="clear"/>
            <w:tcMar>
              <w:top w:type="dxa" w:w="80"/>
              <w:left w:type="dxa" w:w="120"/>
              <w:bottom w:type="dxa" w:w="80"/>
              <w:right w:type="dxa" w:w="120"/>
            </w:tcMar>
          </w:tcPr>
          <w:p>
            <w:r>
              <w:rPr>
                <w:rFonts w:ascii="Courier New" w:cs="Courier New" w:eastAsia="Courier New" w:hAnsi="Courier New"/>
                <w:b/>
                <w:bCs/>
                <w:color w:val="1F3A93"/>
                <w:sz w:val="18"/>
                <w:szCs w:val="18"/>
              </w:rPr>
              <w:t xml:space="preserve">POST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18"/>
                <w:szCs w:val="18"/>
              </w:rPr>
              <w:t xml:space="preserve">/:id/render</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6C3483"/>
                <w:sz w:val="18"/>
                <w:szCs w:val="18"/>
              </w:rPr>
              <w:t xml:space="preserve">billing:read</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Render a DOCX template with provided invoice data; returns filled .docx binary</w:t>
            </w:r>
          </w:p>
        </w:tc>
      </w:tr>
    </w:tbl>
    <w:p>
      <w:pPr>
        <w:spacing w:after="0" w:before="120"/>
      </w:pPr>
      <w:r>
        <w:t xml:space="preserve"/>
      </w:r>
    </w:p>
    <w:p>
      <w:pPr>
        <w:pStyle w:val="Heading2"/>
        <w:spacing w:after="100" w:before="320"/>
      </w:pPr>
      <w:r>
        <w:rPr>
          <w:rFonts w:ascii="Arial" w:cs="Arial" w:eastAsia="Arial" w:hAnsi="Arial"/>
          <w:b/>
          <w:bCs/>
          <w:color w:val="1F3A93"/>
          <w:sz w:val="28"/>
          <w:szCs w:val="28"/>
        </w:rPr>
        <w:t xml:space="preserve">3.2 Scope Definitions Added</w:t>
      </w:r>
    </w:p>
    <w:p>
      <w:pPr>
        <w:spacing w:after="80" w:before="80"/>
      </w:pPr>
      <w:r>
        <w:rPr>
          <w:rFonts w:ascii="Arial" w:cs="Arial" w:eastAsia="Arial" w:hAnsi="Arial"/>
          <w:color w:val="555555"/>
          <w:sz w:val="22"/>
          <w:szCs w:val="22"/>
        </w:rPr>
        <w:t xml:space="preserve">Two new scopes were added to close the gap between existing role definitions and billing operations: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1F3A93"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400"/>
            <w:tcBorders>
              <w:top w:val="single" w:color="DDDDDD" w:sz="1"/>
              <w:left w:val="single" w:color="DDDDDD" w:sz="1"/>
              <w:bottom w:val="single" w:color="DDDDDD" w:sz="1"/>
              <w:right w:val="single" w:color="DDDDDD" w:sz="1"/>
            </w:tcBorders>
            <w:shd w:fill="1F3A93" w:val="clear"/>
            <w:tcMar>
              <w:top w:type="dxa" w:w="80"/>
              <w:left w:type="dxa" w:w="120"/>
              <w:bottom w:type="dxa" w:w="80"/>
              <w:right w:type="dxa" w:w="120"/>
            </w:tcMar>
          </w:tcPr>
          <w:p>
            <w:r>
              <w:rPr>
                <w:rFonts w:ascii="Arial" w:cs="Arial" w:eastAsia="Arial" w:hAnsi="Arial"/>
                <w:b/>
                <w:bCs/>
                <w:color w:val="FFFFFF"/>
                <w:sz w:val="20"/>
                <w:szCs w:val="20"/>
              </w:rPr>
              <w:t xml:space="preserve">Minimum Role</w:t>
            </w:r>
          </w:p>
        </w:tc>
        <w:tc>
          <w:tcPr>
            <w:tcW w:type="dxa" w:w="4560"/>
            <w:tcBorders>
              <w:top w:val="single" w:color="DDDDDD" w:sz="1"/>
              <w:left w:val="single" w:color="DDDDDD" w:sz="1"/>
              <w:bottom w:val="single" w:color="DDDDDD" w:sz="1"/>
              <w:right w:val="single" w:color="DDDDDD" w:sz="1"/>
            </w:tcBorders>
            <w:shd w:fill="1F3A93"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DDDDDD" w:sz="1"/>
              <w:left w:val="single" w:color="DDDDDD" w:sz="1"/>
              <w:bottom w:val="single" w:color="DDDDDD" w:sz="1"/>
              <w:right w:val="single" w:color="DDDDDD" w:sz="1"/>
            </w:tcBorders>
            <w:shd w:fill="F0F3F9" w:val="clear"/>
            <w:tcMar>
              <w:top w:type="dxa" w:w="80"/>
              <w:left w:type="dxa" w:w="120"/>
              <w:bottom w:type="dxa" w:w="80"/>
              <w:right w:type="dxa" w:w="120"/>
            </w:tcMar>
          </w:tcPr>
          <w:p>
            <w:r>
              <w:rPr>
                <w:rFonts w:ascii="Courier New" w:cs="Courier New" w:eastAsia="Courier New" w:hAnsi="Courier New"/>
                <w:color w:val="6C3483"/>
                <w:sz w:val="20"/>
                <w:szCs w:val="20"/>
              </w:rPr>
              <w:t xml:space="preserve">billing:read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agent (level 20)</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List templates, view merge fields, render DOCX output</w:t>
            </w:r>
          </w:p>
        </w:tc>
      </w:tr>
      <w:tr>
        <w:tc>
          <w:tcPr>
            <w:tcW w:type="dxa" w:w="2400"/>
            <w:tcBorders>
              <w:top w:val="single" w:color="DDDDDD" w:sz="1"/>
              <w:left w:val="single" w:color="DDDDDD" w:sz="1"/>
              <w:bottom w:val="single" w:color="DDDDDD" w:sz="1"/>
              <w:right w:val="single" w:color="DDDDDD" w:sz="1"/>
            </w:tcBorders>
            <w:shd w:fill="F0F3F9" w:val="clear"/>
            <w:tcMar>
              <w:top w:type="dxa" w:w="80"/>
              <w:left w:type="dxa" w:w="120"/>
              <w:bottom w:type="dxa" w:w="80"/>
              <w:right w:type="dxa" w:w="120"/>
            </w:tcMar>
          </w:tcPr>
          <w:p>
            <w:r>
              <w:rPr>
                <w:rFonts w:ascii="Courier New" w:cs="Courier New" w:eastAsia="Courier New" w:hAnsi="Courier New"/>
                <w:color w:val="6C3483"/>
                <w:sz w:val="20"/>
                <w:szCs w:val="20"/>
              </w:rPr>
              <w:t xml:space="preserve">billing:manage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manager (level 30)</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Create, update, delete templates; upload DOCX files</w:t>
            </w:r>
          </w:p>
        </w:tc>
      </w:tr>
    </w:tbl>
    <w:p>
      <w:pPr>
        <w:spacing w:after="0" w:before="120"/>
      </w:pPr>
      <w:r>
        <w:t xml:space="preserve"/>
      </w:r>
    </w:p>
    <w:p>
      <w:pPr>
        <w:pStyle w:val="Heading2"/>
        <w:spacing w:after="100" w:before="320"/>
      </w:pPr>
      <w:r>
        <w:rPr>
          <w:rFonts w:ascii="Arial" w:cs="Arial" w:eastAsia="Arial" w:hAnsi="Arial"/>
          <w:b/>
          <w:bCs/>
          <w:color w:val="1F3A93"/>
          <w:sz w:val="28"/>
          <w:szCs w:val="28"/>
        </w:rPr>
        <w:t xml:space="preserve">3.3 Merge Fields</w:t>
      </w:r>
    </w:p>
    <w:p>
      <w:pPr>
        <w:spacing w:after="80" w:before="80"/>
      </w:pPr>
      <w:r>
        <w:rPr>
          <w:rFonts w:ascii="Arial" w:cs="Arial" w:eastAsia="Arial" w:hAnsi="Arial"/>
          <w:color w:val="555555"/>
          <w:sz w:val="22"/>
          <w:szCs w:val="22"/>
        </w:rPr>
        <w:t xml:space="preserve">18 merge fields are available for DOCX templates. They use Mustache-style double-brace syntax ({{field_name}}) processed by Docxtemplater at render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Merge Field</w:t>
            </w:r>
          </w:p>
        </w:tc>
        <w:tc>
          <w:tcPr>
            <w:tcW w:type="dxa" w:w="6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{{invoice_number}}</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Invoice number, e.g. INV-0042</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{{issue_date}}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Date the invoice was issued</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{{due_date}}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Payment due date</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{{currency}}</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Currency code, e.g. GBP, USD</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{{subtotal}}</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Subtotal before tax</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{{tax}}</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Total tax amount</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{{total}}</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Grand total payable</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{{notes}}</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Invoice notes / memo</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{{terms}}</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Payment terms text</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{{client_name}}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Billing contact full name</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{{client_email}}</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Billing contact email address</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{{client_company}}</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Billing contact company name</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{{client_address}}</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Billing contact postal address</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{{company_name}}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Issuing company name (from workspace settings)</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{{company_email}}</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Issuing company email</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{{company_address}}</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Issuing company address</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{{line_items_table}}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Full rendered line items table (HTML block)</w:t>
            </w:r>
          </w:p>
        </w:tc>
      </w:tr>
      <w:tr>
        <w:tc>
          <w:tcPr>
            <w:tcW w:type="dxa" w:w="2400"/>
            <w:tcBorders>
              <w:top w:val="single" w:color="DDDDDD" w:sz="1"/>
              <w:left w:val="single" w:color="DDDDDD" w:sz="1"/>
              <w:bottom w:val="single" w:color="DDDDDD" w:sz="1"/>
              <w:right w:val="single" w:color="DDDDDD" w:sz="1"/>
            </w:tcBorders>
            <w:shd w:fill="F0F3F9" w:val="clear"/>
            <w:tcMar>
              <w:top w:type="dxa" w:w="60"/>
              <w:left w:type="dxa" w:w="120"/>
              <w:bottom w:type="dxa" w:w="60"/>
              <w:right w:type="dxa" w:w="120"/>
            </w:tcMar>
          </w:tcPr>
          <w:p>
            <w:r>
              <w:rPr>
                <w:rFonts w:ascii="Courier New" w:cs="Courier New" w:eastAsia="Courier New" w:hAnsi="Courier New"/>
                <w:color w:val="1A237E"/>
                <w:sz w:val="18"/>
                <w:szCs w:val="18"/>
              </w:rPr>
              <w:t xml:space="preserve">{{po_reference}}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Purchase order reference number</w:t>
            </w:r>
          </w:p>
        </w:tc>
      </w:tr>
    </w:tbl>
    <w:p>
      <w:r>
        <w:br w:type="page"/>
      </w:r>
    </w:p>
    <w:p>
      <w:pPr>
        <w:pStyle w:val="Heading1"/>
        <w:pBdr>
          <w:bottom w:val="single" w:color="1F3A93" w:sz="6" w:space="8"/>
        </w:pBdr>
        <w:spacing w:after="160" w:before="480"/>
      </w:pPr>
      <w:bookmarkStart w:name="frontend" w:id="1"/>
      <w:r>
        <w:rPr>
          <w:rFonts w:ascii="Arial" w:cs="Arial" w:eastAsia="Arial" w:hAnsi="Arial"/>
          <w:b/>
          <w:bCs/>
          <w:color w:val="1A1A2E"/>
          <w:sz w:val="36"/>
          <w:szCs w:val="36"/>
        </w:rPr>
        <w:t xml:space="preserve">4. Frontend Design</w:t>
      </w:r>
      <w:bookmarkEnd w:id="1"/>
    </w:p>
    <w:p>
      <w:pPr>
        <w:pStyle w:val="Heading2"/>
        <w:spacing w:after="100" w:before="320"/>
      </w:pPr>
      <w:r>
        <w:rPr>
          <w:rFonts w:ascii="Arial" w:cs="Arial" w:eastAsia="Arial" w:hAnsi="Arial"/>
          <w:b/>
          <w:bCs/>
          <w:color w:val="1F3A93"/>
          <w:sz w:val="28"/>
          <w:szCs w:val="28"/>
        </w:rPr>
        <w:t xml:space="preserve">4.1 SalesBuilder Component</w:t>
      </w:r>
    </w:p>
    <w:p>
      <w:pPr>
        <w:spacing w:after="80" w:before="80"/>
      </w:pPr>
      <w:r>
        <w:rPr>
          <w:rFonts w:ascii="Arial" w:cs="Arial" w:eastAsia="Arial" w:hAnsi="Arial"/>
          <w:color w:val="555555"/>
          <w:sz w:val="22"/>
          <w:szCs w:val="22"/>
        </w:rPr>
        <w:t xml:space="preserve">SalesBuilder is a three-panel visual editor for creating invoice templates. It uses @dnd-kit for both palette-to-canvas drops and within-canvas element reordering.</w:t>
      </w:r>
    </w:p>
    <w:p>
      <w:pPr>
        <w:spacing w:after="0" w:before="120"/>
      </w:pPr>
      <w:r>
        <w:t xml:space="preserve"/>
      </w:r>
    </w:p>
    <w:p>
      <w:pPr>
        <w:pStyle w:val="Heading3"/>
        <w:spacing w:after="80" w:before="200"/>
      </w:pPr>
      <w:r>
        <w:rPr>
          <w:rFonts w:ascii="Arial" w:cs="Arial" w:eastAsia="Arial" w:hAnsi="Arial"/>
          <w:b/>
          <w:bCs/>
          <w:color w:val="2C3E50"/>
          <w:sz w:val="24"/>
          <w:szCs w:val="24"/>
        </w:rPr>
        <w:t xml:space="preserve">Panel Layout</w:t>
      </w:r>
    </w:p>
    <w:p>
      <w:pPr>
        <w:pStyle w:val="ListParagraph"/>
        <w:numPr>
          <w:ilvl w:val="0"/>
          <w:numId w:val="2"/>
        </w:numPr>
        <w:spacing w:after="40" w:before="40"/>
      </w:pPr>
      <w:r>
        <w:rPr>
          <w:rFonts w:ascii="Arial" w:cs="Arial" w:eastAsia="Arial" w:hAnsi="Arial"/>
          <w:b w:val="false"/>
          <w:bCs w:val="false"/>
          <w:color w:val="555555"/>
          <w:sz w:val="22"/>
          <w:szCs w:val="22"/>
        </w:rPr>
        <w:t xml:space="preserve">Left panel (240px): Palette — element type chips + saved templates list</w:t>
      </w:r>
    </w:p>
    <w:p>
      <w:pPr>
        <w:pStyle w:val="ListParagraph"/>
        <w:numPr>
          <w:ilvl w:val="0"/>
          <w:numId w:val="2"/>
        </w:numPr>
        <w:spacing w:after="40" w:before="40"/>
      </w:pPr>
      <w:r>
        <w:rPr>
          <w:rFonts w:ascii="Arial" w:cs="Arial" w:eastAsia="Arial" w:hAnsi="Arial"/>
          <w:b w:val="false"/>
          <w:bCs w:val="false"/>
          <w:color w:val="555555"/>
          <w:sz w:val="22"/>
          <w:szCs w:val="22"/>
        </w:rPr>
        <w:t xml:space="preserve">Center (flex-1): Canvas — live-rendered element stack with drag handles</w:t>
      </w:r>
    </w:p>
    <w:p>
      <w:pPr>
        <w:pStyle w:val="ListParagraph"/>
        <w:numPr>
          <w:ilvl w:val="0"/>
          <w:numId w:val="2"/>
        </w:numPr>
        <w:spacing w:after="40" w:before="40"/>
      </w:pPr>
      <w:r>
        <w:rPr>
          <w:rFonts w:ascii="Arial" w:cs="Arial" w:eastAsia="Arial" w:hAnsi="Arial"/>
          <w:b w:val="false"/>
          <w:bCs w:val="false"/>
          <w:color w:val="555555"/>
          <w:sz w:val="22"/>
          <w:szCs w:val="22"/>
        </w:rPr>
        <w:t xml:space="preserve">Right panel (280px): Properties — alignment, font size, color controls for selected element</w:t>
      </w:r>
    </w:p>
    <w:p>
      <w:pPr>
        <w:spacing w:after="0" w:before="120"/>
      </w:pPr>
      <w:r>
        <w:t xml:space="preserve"/>
      </w:r>
    </w:p>
    <w:p>
      <w:pPr>
        <w:pStyle w:val="Heading3"/>
        <w:spacing w:after="80" w:before="200"/>
      </w:pPr>
      <w:r>
        <w:rPr>
          <w:rFonts w:ascii="Arial" w:cs="Arial" w:eastAsia="Arial" w:hAnsi="Arial"/>
          <w:b/>
          <w:bCs/>
          <w:color w:val="2C3E50"/>
          <w:sz w:val="24"/>
          <w:szCs w:val="24"/>
        </w:rPr>
        <w:t xml:space="preserve">Drag-and-Drop Architecture</w:t>
      </w:r>
    </w:p>
    <w:p>
      <w:pPr>
        <w:spacing w:after="80" w:before="80"/>
      </w:pPr>
      <w:r>
        <w:rPr>
          <w:rFonts w:ascii="Arial" w:cs="Arial" w:eastAsia="Arial" w:hAnsi="Arial"/>
          <w:color w:val="555555"/>
          <w:sz w:val="22"/>
          <w:szCs w:val="22"/>
        </w:rPr>
        <w:t xml:space="preserve">Two drag sources share a single DndContext. The distinction is made by reading data.current.source in onDragEnd:</w:t>
      </w:r>
    </w:p>
    <w:p>
      <w:pPr>
        <w:spacing w:after="0" w:before="120"/>
      </w:pPr>
      <w:r>
        <w:t xml:space="preserve"/>
      </w:r>
    </w:p>
    <w:p>
      <w:pPr>
        <w:shd w:fill="F0F3F9" w:val="clear"/>
        <w:spacing w:after="40" w:before="40"/>
        <w:ind w:left="360"/>
      </w:pPr>
      <w:r>
        <w:rPr>
          <w:rFonts w:ascii="Courier New" w:cs="Courier New" w:eastAsia="Courier New" w:hAnsi="Courier New"/>
          <w:color w:val="1A237E"/>
          <w:sz w:val="18"/>
          <w:szCs w:val="18"/>
        </w:rPr>
        <w:t xml:space="preserve">// Palette items use useDraggable with source="palette"</w:t>
      </w:r>
    </w:p>
    <w:p>
      <w:pPr>
        <w:shd w:fill="F0F3F9" w:val="clear"/>
        <w:spacing w:after="40" w:before="40"/>
        <w:ind w:left="360"/>
      </w:pPr>
      <w:r>
        <w:rPr>
          <w:rFonts w:ascii="Courier New" w:cs="Courier New" w:eastAsia="Courier New" w:hAnsi="Courier New"/>
          <w:color w:val="1A237E"/>
          <w:sz w:val="18"/>
          <w:szCs w:val="18"/>
        </w:rPr>
        <w:t xml:space="preserve">// Canvas items use useSortable — no source tag needed</w:t>
      </w:r>
    </w:p>
    <w:p>
      <w:pPr>
        <w:shd w:fill="F0F3F9" w:val="clear"/>
        <w:spacing w:after="40" w:before="40"/>
        <w:ind w:left="360"/>
      </w:pPr>
      <w:r>
        <w:rPr>
          <w:rFonts w:ascii="Courier New" w:cs="Courier New" w:eastAsia="Courier New" w:hAnsi="Courier New"/>
          <w:color w:val="1A237E"/>
          <w:sz w:val="18"/>
          <w:szCs w:val="18"/>
        </w:rPr>
        <w:t xml:space="preserve">function onDragEnd(event) {</w:t>
      </w:r>
    </w:p>
    <w:p>
      <w:pPr>
        <w:shd w:fill="F0F3F9" w:val="clear"/>
        <w:spacing w:after="40" w:before="40"/>
        <w:ind w:left="360"/>
      </w:pPr>
      <w:r>
        <w:rPr>
          <w:rFonts w:ascii="Courier New" w:cs="Courier New" w:eastAsia="Courier New" w:hAnsi="Courier New"/>
          <w:color w:val="1A237E"/>
          <w:sz w:val="18"/>
          <w:szCs w:val="18"/>
        </w:rPr>
        <w:t xml:space="preserve">  if (event.active.data.current?.source === "palette") {</w:t>
      </w:r>
    </w:p>
    <w:p>
      <w:pPr>
        <w:shd w:fill="F0F3F9" w:val="clear"/>
        <w:spacing w:after="40" w:before="40"/>
        <w:ind w:left="360"/>
      </w:pPr>
      <w:r>
        <w:rPr>
          <w:rFonts w:ascii="Courier New" w:cs="Courier New" w:eastAsia="Courier New" w:hAnsi="Courier New"/>
          <w:color w:val="1A237E"/>
          <w:sz w:val="18"/>
          <w:szCs w:val="18"/>
        </w:rPr>
        <w:t xml:space="preserve">    // Add new element at drop position</w:t>
      </w:r>
    </w:p>
    <w:p>
      <w:pPr>
        <w:shd w:fill="F0F3F9" w:val="clear"/>
        <w:spacing w:after="40" w:before="40"/>
        <w:ind w:left="360"/>
      </w:pPr>
      <w:r>
        <w:rPr>
          <w:rFonts w:ascii="Courier New" w:cs="Courier New" w:eastAsia="Courier New" w:hAnsi="Courier New"/>
          <w:color w:val="1A237E"/>
          <w:sz w:val="18"/>
          <w:szCs w:val="18"/>
        </w:rPr>
        <w:t xml:space="preserve">  } else {</w:t>
      </w:r>
    </w:p>
    <w:p>
      <w:pPr>
        <w:shd w:fill="F0F3F9" w:val="clear"/>
        <w:spacing w:after="40" w:before="40"/>
        <w:ind w:left="360"/>
      </w:pPr>
      <w:r>
        <w:rPr>
          <w:rFonts w:ascii="Courier New" w:cs="Courier New" w:eastAsia="Courier New" w:hAnsi="Courier New"/>
          <w:color w:val="1A237E"/>
          <w:sz w:val="18"/>
          <w:szCs w:val="18"/>
        </w:rPr>
        <w:t xml:space="preserve">    // Reorder within canvas using arrayMove</w:t>
      </w:r>
    </w:p>
    <w:p>
      <w:pPr>
        <w:shd w:fill="F0F3F9" w:val="clear"/>
        <w:spacing w:after="40" w:before="40"/>
        <w:ind w:left="360"/>
      </w:pPr>
      <w:r>
        <w:rPr>
          <w:rFonts w:ascii="Courier New" w:cs="Courier New" w:eastAsia="Courier New" w:hAnsi="Courier New"/>
          <w:color w:val="1A237E"/>
          <w:sz w:val="18"/>
          <w:szCs w:val="18"/>
        </w:rPr>
        <w:t xml:space="preserve">    setElements(arrayMove(elements, oldIndex, newIndex));</w:t>
      </w:r>
    </w:p>
    <w:p>
      <w:pPr>
        <w:shd w:fill="F0F3F9" w:val="clear"/>
        <w:spacing w:after="40" w:before="40"/>
        <w:ind w:left="360"/>
      </w:pPr>
      <w:r>
        <w:rPr>
          <w:rFonts w:ascii="Courier New" w:cs="Courier New" w:eastAsia="Courier New" w:hAnsi="Courier New"/>
          <w:color w:val="1A237E"/>
          <w:sz w:val="18"/>
          <w:szCs w:val="18"/>
        </w:rPr>
        <w:t xml:space="preserve">  }</w:t>
      </w:r>
    </w:p>
    <w:p>
      <w:pPr>
        <w:shd w:fill="F0F3F9" w:val="clear"/>
        <w:spacing w:after="40" w:before="40"/>
        <w:ind w:left="360"/>
      </w:pPr>
      <w:r>
        <w:rPr>
          <w:rFonts w:ascii="Courier New" w:cs="Courier New" w:eastAsia="Courier New" w:hAnsi="Courier New"/>
          <w:color w:val="1A237E"/>
          <w:sz w:val="18"/>
          <w:szCs w:val="18"/>
        </w:rPr>
        <w:t xml:space="preserve">}</w:t>
      </w:r>
    </w:p>
    <w:p>
      <w:pPr>
        <w:spacing w:after="0" w:before="120"/>
      </w:pPr>
      <w:r>
        <w:t xml:space="preserve"/>
      </w:r>
    </w:p>
    <w:p>
      <w:pPr>
        <w:pStyle w:val="Heading3"/>
        <w:spacing w:after="80" w:before="200"/>
      </w:pPr>
      <w:r>
        <w:rPr>
          <w:rFonts w:ascii="Arial" w:cs="Arial" w:eastAsia="Arial" w:hAnsi="Arial"/>
          <w:b/>
          <w:bCs/>
          <w:color w:val="2C3E50"/>
          <w:sz w:val="24"/>
          <w:szCs w:val="24"/>
        </w:rPr>
        <w:t xml:space="preserve">Element Types</w:t>
      </w:r>
    </w:p>
    <w:p>
      <w:pPr>
        <w:pStyle w:val="ListParagraph"/>
        <w:numPr>
          <w:ilvl w:val="0"/>
          <w:numId w:val="2"/>
        </w:numPr>
        <w:spacing w:after="40" w:before="40"/>
      </w:pPr>
      <w:r>
        <w:rPr>
          <w:rFonts w:ascii="Arial" w:cs="Arial" w:eastAsia="Arial" w:hAnsi="Arial"/>
          <w:b w:val="false"/>
          <w:bCs w:val="false"/>
          <w:color w:val="555555"/>
          <w:sz w:val="22"/>
          <w:szCs w:val="22"/>
        </w:rPr>
        <w:t xml:space="preserve">logo — company logo image placeholder</w:t>
      </w:r>
    </w:p>
    <w:p>
      <w:pPr>
        <w:pStyle w:val="ListParagraph"/>
        <w:numPr>
          <w:ilvl w:val="0"/>
          <w:numId w:val="2"/>
        </w:numPr>
        <w:spacing w:after="40" w:before="40"/>
      </w:pPr>
      <w:r>
        <w:rPr>
          <w:rFonts w:ascii="Arial" w:cs="Arial" w:eastAsia="Arial" w:hAnsi="Arial"/>
          <w:b w:val="false"/>
          <w:bCs w:val="false"/>
          <w:color w:val="555555"/>
          <w:sz w:val="22"/>
          <w:szCs w:val="22"/>
        </w:rPr>
        <w:t xml:space="preserve">company-info — issuer name, address, email</w:t>
      </w:r>
    </w:p>
    <w:p>
      <w:pPr>
        <w:pStyle w:val="ListParagraph"/>
        <w:numPr>
          <w:ilvl w:val="0"/>
          <w:numId w:val="2"/>
        </w:numPr>
        <w:spacing w:after="40" w:before="40"/>
      </w:pPr>
      <w:r>
        <w:rPr>
          <w:rFonts w:ascii="Arial" w:cs="Arial" w:eastAsia="Arial" w:hAnsi="Arial"/>
          <w:b w:val="false"/>
          <w:bCs w:val="false"/>
          <w:color w:val="555555"/>
          <w:sz w:val="22"/>
          <w:szCs w:val="22"/>
        </w:rPr>
        <w:t xml:space="preserve">client-info — billing contact block</w:t>
      </w:r>
    </w:p>
    <w:p>
      <w:pPr>
        <w:pStyle w:val="ListParagraph"/>
        <w:numPr>
          <w:ilvl w:val="0"/>
          <w:numId w:val="2"/>
        </w:numPr>
        <w:spacing w:after="40" w:before="40"/>
      </w:pPr>
      <w:r>
        <w:rPr>
          <w:rFonts w:ascii="Arial" w:cs="Arial" w:eastAsia="Arial" w:hAnsi="Arial"/>
          <w:b w:val="false"/>
          <w:bCs w:val="false"/>
          <w:color w:val="555555"/>
          <w:sz w:val="22"/>
          <w:szCs w:val="22"/>
        </w:rPr>
        <w:t xml:space="preserve">invoice-table — line items grid</w:t>
      </w:r>
    </w:p>
    <w:p>
      <w:pPr>
        <w:pStyle w:val="ListParagraph"/>
        <w:numPr>
          <w:ilvl w:val="0"/>
          <w:numId w:val="2"/>
        </w:numPr>
        <w:spacing w:after="40" w:before="40"/>
      </w:pPr>
      <w:r>
        <w:rPr>
          <w:rFonts w:ascii="Arial" w:cs="Arial" w:eastAsia="Arial" w:hAnsi="Arial"/>
          <w:b w:val="false"/>
          <w:bCs w:val="false"/>
          <w:color w:val="555555"/>
          <w:sz w:val="22"/>
          <w:szCs w:val="22"/>
        </w:rPr>
        <w:t xml:space="preserve">totals — subtotal / tax / total block</w:t>
      </w:r>
    </w:p>
    <w:p>
      <w:pPr>
        <w:pStyle w:val="ListParagraph"/>
        <w:numPr>
          <w:ilvl w:val="0"/>
          <w:numId w:val="2"/>
        </w:numPr>
        <w:spacing w:after="40" w:before="40"/>
      </w:pPr>
      <w:r>
        <w:rPr>
          <w:rFonts w:ascii="Arial" w:cs="Arial" w:eastAsia="Arial" w:hAnsi="Arial"/>
          <w:b w:val="false"/>
          <w:bCs w:val="false"/>
          <w:color w:val="555555"/>
          <w:sz w:val="22"/>
          <w:szCs w:val="22"/>
        </w:rPr>
        <w:t xml:space="preserve">notes — freeform notes text</w:t>
      </w:r>
    </w:p>
    <w:p>
      <w:pPr>
        <w:pStyle w:val="ListParagraph"/>
        <w:numPr>
          <w:ilvl w:val="0"/>
          <w:numId w:val="2"/>
        </w:numPr>
        <w:spacing w:after="40" w:before="40"/>
      </w:pPr>
      <w:r>
        <w:rPr>
          <w:rFonts w:ascii="Arial" w:cs="Arial" w:eastAsia="Arial" w:hAnsi="Arial"/>
          <w:b w:val="false"/>
          <w:bCs w:val="false"/>
          <w:color w:val="555555"/>
          <w:sz w:val="22"/>
          <w:szCs w:val="22"/>
        </w:rPr>
        <w:t xml:space="preserve">terms — payment terms text</w:t>
      </w:r>
    </w:p>
    <w:p>
      <w:pPr>
        <w:pStyle w:val="ListParagraph"/>
        <w:numPr>
          <w:ilvl w:val="0"/>
          <w:numId w:val="2"/>
        </w:numPr>
        <w:spacing w:after="40" w:before="40"/>
      </w:pPr>
      <w:r>
        <w:rPr>
          <w:rFonts w:ascii="Arial" w:cs="Arial" w:eastAsia="Arial" w:hAnsi="Arial"/>
          <w:b w:val="false"/>
          <w:bCs w:val="false"/>
          <w:color w:val="555555"/>
          <w:sz w:val="22"/>
          <w:szCs w:val="22"/>
        </w:rPr>
        <w:t xml:space="preserve">custom-text — user-defined text with full props</w:t>
      </w:r>
    </w:p>
    <w:p>
      <w:pPr>
        <w:pStyle w:val="ListParagraph"/>
        <w:numPr>
          <w:ilvl w:val="0"/>
          <w:numId w:val="2"/>
        </w:numPr>
        <w:spacing w:after="40" w:before="40"/>
      </w:pPr>
      <w:r>
        <w:rPr>
          <w:rFonts w:ascii="Arial" w:cs="Arial" w:eastAsia="Arial" w:hAnsi="Arial"/>
          <w:b w:val="false"/>
          <w:bCs w:val="false"/>
          <w:color w:val="555555"/>
          <w:sz w:val="22"/>
          <w:szCs w:val="22"/>
        </w:rPr>
        <w:t xml:space="preserve">divider — horizontal separator line</w:t>
      </w:r>
    </w:p>
    <w:p>
      <w:pPr>
        <w:spacing w:after="0" w:before="120"/>
      </w:pPr>
      <w:r>
        <w:t xml:space="preserve"/>
      </w:r>
    </w:p>
    <w:p>
      <w:pPr>
        <w:pStyle w:val="Heading3"/>
        <w:spacing w:after="80" w:before="200"/>
      </w:pPr>
      <w:r>
        <w:rPr>
          <w:rFonts w:ascii="Arial" w:cs="Arial" w:eastAsia="Arial" w:hAnsi="Arial"/>
          <w:b/>
          <w:bCs/>
          <w:color w:val="2C3E50"/>
          <w:sz w:val="24"/>
          <w:szCs w:val="24"/>
        </w:rPr>
        <w:t xml:space="preserve">Element Properties</w:t>
      </w:r>
    </w:p>
    <w:p>
      <w:pPr>
        <w:spacing w:after="80" w:before="80"/>
      </w:pPr>
      <w:r>
        <w:rPr>
          <w:rFonts w:ascii="Arial" w:cs="Arial" w:eastAsia="Arial" w:hAnsi="Arial"/>
          <w:color w:val="555555"/>
          <w:sz w:val="22"/>
          <w:szCs w:val="22"/>
        </w:rPr>
        <w:t xml:space="preserve">Each element carries a props object: { alignment: left|center|right, fontSize: number, color: string, customText?: string }. The properties panel binds directly to the selected element in the elements array via index.</w:t>
      </w:r>
    </w:p>
    <w:p>
      <w:pPr>
        <w:spacing w:after="0" w:before="120"/>
      </w:pPr>
      <w:r>
        <w:t xml:space="preserve"/>
      </w:r>
    </w:p>
    <w:p>
      <w:pPr>
        <w:pStyle w:val="Heading2"/>
        <w:spacing w:after="100" w:before="320"/>
      </w:pPr>
      <w:r>
        <w:rPr>
          <w:rFonts w:ascii="Arial" w:cs="Arial" w:eastAsia="Arial" w:hAnsi="Arial"/>
          <w:b/>
          <w:bCs/>
          <w:color w:val="1F3A93"/>
          <w:sz w:val="28"/>
          <w:szCs w:val="28"/>
        </w:rPr>
        <w:t xml:space="preserve">4.2 SalesTemplates Component</w:t>
      </w:r>
    </w:p>
    <w:p>
      <w:pPr>
        <w:spacing w:after="80" w:before="80"/>
      </w:pPr>
      <w:r>
        <w:rPr>
          <w:rFonts w:ascii="Arial" w:cs="Arial" w:eastAsia="Arial" w:hAnsi="Arial"/>
          <w:color w:val="555555"/>
          <w:sz w:val="22"/>
          <w:szCs w:val="22"/>
        </w:rPr>
        <w:t xml:space="preserve">Three-tab interface for managing invoice templates. Tab routing is controlled by local state (no URL change).</w:t>
      </w:r>
    </w:p>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555555"/>
          <w:sz w:val="22"/>
          <w:szCs w:val="22"/>
        </w:rPr>
        <w:t xml:space="preserve">Presets tab: renders built-in theme thumbnails; click navigates to SalesBuilder with preset applied</w:t>
      </w:r>
    </w:p>
    <w:p>
      <w:pPr>
        <w:pStyle w:val="ListParagraph"/>
        <w:numPr>
          <w:ilvl w:val="0"/>
          <w:numId w:val="2"/>
        </w:numPr>
        <w:spacing w:after="40" w:before="40"/>
      </w:pPr>
      <w:r>
        <w:rPr>
          <w:rFonts w:ascii="Arial" w:cs="Arial" w:eastAsia="Arial" w:hAnsi="Arial"/>
          <w:b w:val="false"/>
          <w:bCs w:val="false"/>
          <w:color w:val="555555"/>
          <w:sz w:val="22"/>
          <w:szCs w:val="22"/>
        </w:rPr>
        <w:t xml:space="preserve">Saved tab: fetches DB templates; shows type icon (builder vs docx), is_default badge, star (set default) and delete actions</w:t>
      </w:r>
    </w:p>
    <w:p>
      <w:pPr>
        <w:pStyle w:val="ListParagraph"/>
        <w:numPr>
          <w:ilvl w:val="0"/>
          <w:numId w:val="2"/>
        </w:numPr>
        <w:spacing w:after="40" w:before="40"/>
      </w:pPr>
      <w:r>
        <w:rPr>
          <w:rFonts w:ascii="Arial" w:cs="Arial" w:eastAsia="Arial" w:hAnsi="Arial"/>
          <w:b w:val="false"/>
          <w:bCs w:val="false"/>
          <w:color w:val="555555"/>
          <w:sz w:val="22"/>
          <w:szCs w:val="22"/>
        </w:rPr>
        <w:t xml:space="preserve">Upload tab: drag-and-drop zone accepting .docx and .html; also shows merge field reference table with one-click copy to clipboard</w:t>
      </w:r>
    </w:p>
    <w:p>
      <w:pPr>
        <w:spacing w:after="0" w:before="120"/>
      </w:pPr>
      <w:r>
        <w:t xml:space="preserve"/>
      </w:r>
    </w:p>
    <w:p>
      <w:pPr>
        <w:pStyle w:val="Heading2"/>
        <w:spacing w:after="100" w:before="320"/>
      </w:pPr>
      <w:r>
        <w:rPr>
          <w:rFonts w:ascii="Arial" w:cs="Arial" w:eastAsia="Arial" w:hAnsi="Arial"/>
          <w:b/>
          <w:bCs/>
          <w:color w:val="1F3A93"/>
          <w:sz w:val="28"/>
          <w:szCs w:val="28"/>
        </w:rPr>
        <w:t xml:space="preserve">4.3 InvoiceCreate Template Selector</w:t>
      </w:r>
    </w:p>
    <w:p>
      <w:pPr>
        <w:spacing w:after="80" w:before="80"/>
      </w:pPr>
      <w:r>
        <w:rPr>
          <w:rFonts w:ascii="Arial" w:cs="Arial" w:eastAsia="Arial" w:hAnsi="Arial"/>
          <w:color w:val="555555"/>
          <w:sz w:val="22"/>
          <w:szCs w:val="22"/>
        </w:rPr>
        <w:t xml:space="preserve">The create invoice form was updated to load saved templates from the API and present them as a grouped select element alongside the preset themes. The template ID is sent in the invoice creation payload.</w:t>
      </w:r>
    </w:p>
    <w:p>
      <w:pPr>
        <w:spacing w:after="0" w:before="120"/>
      </w:pPr>
      <w:r>
        <w:t xml:space="preserve"/>
      </w:r>
    </w:p>
    <w:p>
      <w:pPr>
        <w:shd w:fill="F0F3F9" w:val="clear"/>
        <w:spacing w:after="40" w:before="40"/>
        <w:ind w:left="360"/>
      </w:pPr>
      <w:r>
        <w:rPr>
          <w:rFonts w:ascii="Courier New" w:cs="Courier New" w:eastAsia="Courier New" w:hAnsi="Courier New"/>
          <w:color w:val="1A237E"/>
          <w:sz w:val="18"/>
          <w:szCs w:val="18"/>
        </w:rPr>
        <w:t xml:space="preserve">const [searchParams] = useSearchParams();</w:t>
      </w:r>
    </w:p>
    <w:p>
      <w:pPr>
        <w:shd w:fill="F0F3F9" w:val="clear"/>
        <w:spacing w:after="40" w:before="40"/>
        <w:ind w:left="360"/>
      </w:pPr>
      <w:r>
        <w:rPr>
          <w:rFonts w:ascii="Courier New" w:cs="Courier New" w:eastAsia="Courier New" w:hAnsi="Courier New"/>
          <w:color w:val="1A237E"/>
          <w:sz w:val="18"/>
          <w:szCs w:val="18"/>
        </w:rPr>
        <w:t xml:space="preserve">const preselectedTemplate = searchParams.get("template") ?? "";</w:t>
      </w:r>
    </w:p>
    <w:p>
      <w:pPr>
        <w:shd w:fill="F0F3F9" w:val="clear"/>
        <w:spacing w:after="40" w:before="40"/>
        <w:ind w:left="360"/>
      </w:pPr>
      <w:r>
        <w:rPr>
          <w:rFonts w:ascii="Courier New" w:cs="Courier New" w:eastAsia="Courier New" w:hAnsi="Courier New"/>
          <w:color w:val="1A237E"/>
          <w:sz w:val="18"/>
          <w:szCs w:val="18"/>
        </w:rPr>
        <w:t xml:space="preserve"/>
      </w:r>
    </w:p>
    <w:p>
      <w:pPr>
        <w:shd w:fill="F0F3F9" w:val="clear"/>
        <w:spacing w:after="40" w:before="40"/>
        <w:ind w:left="360"/>
      </w:pPr>
      <w:r>
        <w:rPr>
          <w:rFonts w:ascii="Courier New" w:cs="Courier New" w:eastAsia="Courier New" w:hAnsi="Courier New"/>
          <w:color w:val="1A237E"/>
          <w:sz w:val="18"/>
          <w:szCs w:val="18"/>
        </w:rPr>
        <w:t xml:space="preserve">// Select has two optgroups:</w:t>
      </w:r>
    </w:p>
    <w:p>
      <w:pPr>
        <w:shd w:fill="F0F3F9" w:val="clear"/>
        <w:spacing w:after="40" w:before="40"/>
        <w:ind w:left="360"/>
      </w:pPr>
      <w:r>
        <w:rPr>
          <w:rFonts w:ascii="Courier New" w:cs="Courier New" w:eastAsia="Courier New" w:hAnsi="Courier New"/>
          <w:color w:val="1A237E"/>
          <w:sz w:val="18"/>
          <w:szCs w:val="18"/>
        </w:rPr>
        <w:t xml:space="preserve">// &lt;optgroup label="Preset Themes"&gt; — hardcoded theme IDs</w:t>
      </w:r>
    </w:p>
    <w:p>
      <w:pPr>
        <w:shd w:fill="F0F3F9" w:val="clear"/>
        <w:spacing w:after="40" w:before="40"/>
        <w:ind w:left="360"/>
      </w:pPr>
      <w:r>
        <w:rPr>
          <w:rFonts w:ascii="Courier New" w:cs="Courier New" w:eastAsia="Courier New" w:hAnsi="Courier New"/>
          <w:color w:val="1A237E"/>
          <w:sz w:val="18"/>
          <w:szCs w:val="18"/>
        </w:rPr>
        <w:t xml:space="preserve">// &lt;optgroup label="My Saved Templates"&gt; — from DB via useQuery</w:t>
      </w:r>
    </w:p>
    <w:p>
      <w:pPr>
        <w:spacing w:after="0" w:before="120"/>
      </w:pPr>
      <w:r>
        <w:t xml:space="preserve"/>
      </w:r>
    </w:p>
    <w:p>
      <w:pPr>
        <w:spacing w:after="80" w:before="80"/>
      </w:pPr>
      <w:r>
        <w:rPr>
          <w:rFonts w:ascii="Arial" w:cs="Arial" w:eastAsia="Arial" w:hAnsi="Arial"/>
          <w:color w:val="555555"/>
          <w:sz w:val="22"/>
          <w:szCs w:val="22"/>
        </w:rPr>
        <w:t xml:space="preserve">A ?template= query parameter allows navigation from SalesTemplates directly to InvoiceCreate with a template pre-selected.</w:t>
      </w:r>
    </w:p>
    <w:p>
      <w:r>
        <w:br w:type="page"/>
      </w:r>
    </w:p>
    <w:p>
      <w:pPr>
        <w:pStyle w:val="Heading1"/>
        <w:pBdr>
          <w:bottom w:val="single" w:color="1F3A93" w:sz="6" w:space="8"/>
        </w:pBdr>
        <w:spacing w:after="160" w:before="480"/>
      </w:pPr>
      <w:bookmarkStart w:name="docx" w:id="1"/>
      <w:r>
        <w:rPr>
          <w:rFonts w:ascii="Arial" w:cs="Arial" w:eastAsia="Arial" w:hAnsi="Arial"/>
          <w:b/>
          <w:bCs/>
          <w:color w:val="1A1A2E"/>
          <w:sz w:val="36"/>
          <w:szCs w:val="36"/>
        </w:rPr>
        <w:t xml:space="preserve">5. DOCX Render Engine</w:t>
      </w:r>
      <w:bookmarkEnd w:id="1"/>
    </w:p>
    <w:p>
      <w:pPr>
        <w:pStyle w:val="Heading2"/>
        <w:spacing w:after="100" w:before="320"/>
      </w:pPr>
      <w:r>
        <w:rPr>
          <w:rFonts w:ascii="Arial" w:cs="Arial" w:eastAsia="Arial" w:hAnsi="Arial"/>
          <w:b/>
          <w:bCs/>
          <w:color w:val="1F3A93"/>
          <w:sz w:val="28"/>
          <w:szCs w:val="28"/>
        </w:rPr>
        <w:t xml:space="preserve">5.1 Upload Flow</w:t>
      </w:r>
    </w:p>
    <w:p>
      <w:pPr>
        <w:spacing w:after="80" w:before="80"/>
      </w:pPr>
      <w:r>
        <w:rPr>
          <w:rFonts w:ascii="Arial" w:cs="Arial" w:eastAsia="Arial" w:hAnsi="Arial"/>
          <w:color w:val="555555"/>
          <w:sz w:val="22"/>
          <w:szCs w:val="22"/>
        </w:rPr>
        <w:t xml:space="preserve">File upload uses @fastify/multipart registered globally in server.ts with a 10 MB per-file limit. The upload route performs these steps in order:</w:t>
      </w:r>
    </w:p>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555555"/>
          <w:sz w:val="22"/>
          <w:szCs w:val="22"/>
        </w:rPr>
        <w:t xml:space="preserve">1. Reads the multipart file stream via req.file()</w:t>
      </w:r>
    </w:p>
    <w:p>
      <w:pPr>
        <w:pStyle w:val="ListParagraph"/>
        <w:numPr>
          <w:ilvl w:val="0"/>
          <w:numId w:val="2"/>
        </w:numPr>
        <w:spacing w:after="40" w:before="40"/>
      </w:pPr>
      <w:r>
        <w:rPr>
          <w:rFonts w:ascii="Arial" w:cs="Arial" w:eastAsia="Arial" w:hAnsi="Arial"/>
          <w:b w:val="false"/>
          <w:bCs w:val="false"/>
          <w:color w:val="555555"/>
          <w:sz w:val="22"/>
          <w:szCs w:val="22"/>
        </w:rPr>
        <w:t xml:space="preserve">2. Validates MIME type against allowed list: application/vnd.openxmlformats-officedocument.wordprocessingml.document, application/msword, text/html</w:t>
      </w:r>
    </w:p>
    <w:p>
      <w:pPr>
        <w:pStyle w:val="ListParagraph"/>
        <w:numPr>
          <w:ilvl w:val="0"/>
          <w:numId w:val="2"/>
        </w:numPr>
        <w:spacing w:after="40" w:before="40"/>
      </w:pPr>
      <w:r>
        <w:rPr>
          <w:rFonts w:ascii="Arial" w:cs="Arial" w:eastAsia="Arial" w:hAnsi="Arial"/>
          <w:b w:val="false"/>
          <w:bCs w:val="false"/>
          <w:color w:val="555555"/>
          <w:sz w:val="22"/>
          <w:szCs w:val="22"/>
        </w:rPr>
        <w:t xml:space="preserve">3. Falls back to extension check (.docx, .html) if MIME type is non-standard</w:t>
      </w:r>
    </w:p>
    <w:p>
      <w:pPr>
        <w:pStyle w:val="ListParagraph"/>
        <w:numPr>
          <w:ilvl w:val="0"/>
          <w:numId w:val="2"/>
        </w:numPr>
        <w:spacing w:after="40" w:before="40"/>
      </w:pPr>
      <w:r>
        <w:rPr>
          <w:rFonts w:ascii="Arial" w:cs="Arial" w:eastAsia="Arial" w:hAnsi="Arial"/>
          <w:b w:val="false"/>
          <w:bCs w:val="false"/>
          <w:color w:val="555555"/>
          <w:sz w:val="22"/>
          <w:szCs w:val="22"/>
        </w:rPr>
        <w:t xml:space="preserve">4. Creates tenant-specific upload directory: uploads/templates/{tenant_id}/</w:t>
      </w:r>
    </w:p>
    <w:p>
      <w:pPr>
        <w:pStyle w:val="ListParagraph"/>
        <w:numPr>
          <w:ilvl w:val="0"/>
          <w:numId w:val="2"/>
        </w:numPr>
        <w:spacing w:after="40" w:before="40"/>
      </w:pPr>
      <w:r>
        <w:rPr>
          <w:rFonts w:ascii="Arial" w:cs="Arial" w:eastAsia="Arial" w:hAnsi="Arial"/>
          <w:b w:val="false"/>
          <w:bCs w:val="false"/>
          <w:color w:val="555555"/>
          <w:sz w:val="22"/>
          <w:szCs w:val="22"/>
        </w:rPr>
        <w:t xml:space="preserve">5. Generates a UUID filename to prevent collisions and path traversal</w:t>
      </w:r>
    </w:p>
    <w:p>
      <w:pPr>
        <w:pStyle w:val="ListParagraph"/>
        <w:numPr>
          <w:ilvl w:val="0"/>
          <w:numId w:val="2"/>
        </w:numPr>
        <w:spacing w:after="40" w:before="40"/>
      </w:pPr>
      <w:r>
        <w:rPr>
          <w:rFonts w:ascii="Arial" w:cs="Arial" w:eastAsia="Arial" w:hAnsi="Arial"/>
          <w:b w:val="false"/>
          <w:bCs w:val="false"/>
          <w:color w:val="555555"/>
          <w:sz w:val="22"/>
          <w:szCs w:val="22"/>
        </w:rPr>
        <w:t xml:space="preserve">6. Streams the file to disk using pipeline(data.file, createWriteStream(filePath))</w:t>
      </w:r>
    </w:p>
    <w:p>
      <w:pPr>
        <w:pStyle w:val="ListParagraph"/>
        <w:numPr>
          <w:ilvl w:val="0"/>
          <w:numId w:val="2"/>
        </w:numPr>
        <w:spacing w:after="40" w:before="40"/>
      </w:pPr>
      <w:r>
        <w:rPr>
          <w:rFonts w:ascii="Arial" w:cs="Arial" w:eastAsia="Arial" w:hAnsi="Arial"/>
          <w:b w:val="false"/>
          <w:bCs w:val="false"/>
          <w:color w:val="555555"/>
          <w:sz w:val="22"/>
          <w:szCs w:val="22"/>
        </w:rPr>
        <w:t xml:space="preserve">7. Inserts DB record with file_path, file_name, name derived from query param or original filename</w:t>
      </w:r>
    </w:p>
    <w:p>
      <w:pPr>
        <w:spacing w:after="0" w:before="120"/>
      </w:pPr>
      <w:r>
        <w:t xml:space="preserve"/>
      </w:r>
    </w:p>
    <w:p>
      <w:pPr>
        <w:pStyle w:val="Heading2"/>
        <w:spacing w:after="100" w:before="320"/>
      </w:pPr>
      <w:r>
        <w:rPr>
          <w:rFonts w:ascii="Arial" w:cs="Arial" w:eastAsia="Arial" w:hAnsi="Arial"/>
          <w:b/>
          <w:bCs/>
          <w:color w:val="1F3A93"/>
          <w:sz w:val="28"/>
          <w:szCs w:val="28"/>
        </w:rPr>
        <w:t xml:space="preserve">5.2 Render Flow</w:t>
      </w:r>
    </w:p>
    <w:p>
      <w:pPr>
        <w:spacing w:after="80" w:before="80"/>
      </w:pPr>
      <w:r>
        <w:rPr>
          <w:rFonts w:ascii="Arial" w:cs="Arial" w:eastAsia="Arial" w:hAnsi="Arial"/>
          <w:color w:val="555555"/>
          <w:sz w:val="22"/>
          <w:szCs w:val="22"/>
        </w:rPr>
        <w:t xml:space="preserve">The render route accepts a POST body containing the invoice data object and returns the filled .docx binary. The Docxtemplater library handles all {{field}} substitution.</w:t>
      </w:r>
    </w:p>
    <w:p>
      <w:pPr>
        <w:spacing w:after="0" w:before="120"/>
      </w:pPr>
      <w:r>
        <w:t xml:space="preserve"/>
      </w:r>
    </w:p>
    <w:p>
      <w:pPr>
        <w:shd w:fill="F0F3F9" w:val="clear"/>
        <w:spacing w:after="40" w:before="40"/>
        <w:ind w:left="360"/>
      </w:pPr>
      <w:r>
        <w:rPr>
          <w:rFonts w:ascii="Courier New" w:cs="Courier New" w:eastAsia="Courier New" w:hAnsi="Courier New"/>
          <w:color w:val="1A237E"/>
          <w:sz w:val="18"/>
          <w:szCs w:val="18"/>
        </w:rPr>
        <w:t xml:space="preserve">// Route: POST /api/v1/sales/templates/:id/render</w:t>
      </w:r>
    </w:p>
    <w:p>
      <w:pPr>
        <w:shd w:fill="F0F3F9" w:val="clear"/>
        <w:spacing w:after="40" w:before="40"/>
        <w:ind w:left="360"/>
      </w:pPr>
      <w:r>
        <w:rPr>
          <w:rFonts w:ascii="Courier New" w:cs="Courier New" w:eastAsia="Courier New" w:hAnsi="Courier New"/>
          <w:color w:val="1A237E"/>
          <w:sz w:val="18"/>
          <w:szCs w:val="18"/>
        </w:rPr>
        <w:t xml:space="preserve">const content = readFileSync(tpl.file_path);</w:t>
      </w:r>
    </w:p>
    <w:p>
      <w:pPr>
        <w:shd w:fill="F0F3F9" w:val="clear"/>
        <w:spacing w:after="40" w:before="40"/>
        <w:ind w:left="360"/>
      </w:pPr>
      <w:r>
        <w:rPr>
          <w:rFonts w:ascii="Courier New" w:cs="Courier New" w:eastAsia="Courier New" w:hAnsi="Courier New"/>
          <w:color w:val="1A237E"/>
          <w:sz w:val="18"/>
          <w:szCs w:val="18"/>
        </w:rPr>
        <w:t xml:space="preserve">const zip = new PizZip(content);</w:t>
      </w:r>
    </w:p>
    <w:p>
      <w:pPr>
        <w:shd w:fill="F0F3F9" w:val="clear"/>
        <w:spacing w:after="40" w:before="40"/>
        <w:ind w:left="360"/>
      </w:pPr>
      <w:r>
        <w:rPr>
          <w:rFonts w:ascii="Courier New" w:cs="Courier New" w:eastAsia="Courier New" w:hAnsi="Courier New"/>
          <w:color w:val="1A237E"/>
          <w:sz w:val="18"/>
          <w:szCs w:val="18"/>
        </w:rPr>
        <w:t xml:space="preserve">const doc = new Docxtemplater(zip, {</w:t>
      </w:r>
    </w:p>
    <w:p>
      <w:pPr>
        <w:shd w:fill="F0F3F9" w:val="clear"/>
        <w:spacing w:after="40" w:before="40"/>
        <w:ind w:left="360"/>
      </w:pPr>
      <w:r>
        <w:rPr>
          <w:rFonts w:ascii="Courier New" w:cs="Courier New" w:eastAsia="Courier New" w:hAnsi="Courier New"/>
          <w:color w:val="1A237E"/>
          <w:sz w:val="18"/>
          <w:szCs w:val="18"/>
        </w:rPr>
        <w:t xml:space="preserve">  paragraphLoop: true,</w:t>
      </w:r>
    </w:p>
    <w:p>
      <w:pPr>
        <w:shd w:fill="F0F3F9" w:val="clear"/>
        <w:spacing w:after="40" w:before="40"/>
        <w:ind w:left="360"/>
      </w:pPr>
      <w:r>
        <w:rPr>
          <w:rFonts w:ascii="Courier New" w:cs="Courier New" w:eastAsia="Courier New" w:hAnsi="Courier New"/>
          <w:color w:val="1A237E"/>
          <w:sz w:val="18"/>
          <w:szCs w:val="18"/>
        </w:rPr>
        <w:t xml:space="preserve">  linebreaks: true,</w:t>
      </w:r>
    </w:p>
    <w:p>
      <w:pPr>
        <w:shd w:fill="F0F3F9" w:val="clear"/>
        <w:spacing w:after="40" w:before="40"/>
        <w:ind w:left="360"/>
      </w:pPr>
      <w:r>
        <w:rPr>
          <w:rFonts w:ascii="Courier New" w:cs="Courier New" w:eastAsia="Courier New" w:hAnsi="Courier New"/>
          <w:color w:val="1A237E"/>
          <w:sz w:val="18"/>
          <w:szCs w:val="18"/>
        </w:rPr>
        <w:t xml:space="preserve">});</w:t>
      </w:r>
    </w:p>
    <w:p>
      <w:pPr>
        <w:shd w:fill="F0F3F9" w:val="clear"/>
        <w:spacing w:after="40" w:before="40"/>
        <w:ind w:left="360"/>
      </w:pPr>
      <w:r>
        <w:rPr>
          <w:rFonts w:ascii="Courier New" w:cs="Courier New" w:eastAsia="Courier New" w:hAnsi="Courier New"/>
          <w:color w:val="1A237E"/>
          <w:sz w:val="18"/>
          <w:szCs w:val="18"/>
        </w:rPr>
        <w:t xml:space="preserve">doc.render(invoiceData);  // substitutes all {{field}} tags</w:t>
      </w:r>
    </w:p>
    <w:p>
      <w:pPr>
        <w:shd w:fill="F0F3F9" w:val="clear"/>
        <w:spacing w:after="40" w:before="40"/>
        <w:ind w:left="360"/>
      </w:pPr>
      <w:r>
        <w:rPr>
          <w:rFonts w:ascii="Courier New" w:cs="Courier New" w:eastAsia="Courier New" w:hAnsi="Courier New"/>
          <w:color w:val="1A237E"/>
          <w:sz w:val="18"/>
          <w:szCs w:val="18"/>
        </w:rPr>
        <w:t xml:space="preserve">const buf = doc.getZip().generate({ type: "nodebuffer", compression: "DEFLATE" });</w:t>
      </w:r>
    </w:p>
    <w:p>
      <w:pPr>
        <w:shd w:fill="F0F3F9" w:val="clear"/>
        <w:spacing w:after="40" w:before="40"/>
        <w:ind w:left="360"/>
      </w:pPr>
      <w:r>
        <w:rPr>
          <w:rFonts w:ascii="Courier New" w:cs="Courier New" w:eastAsia="Courier New" w:hAnsi="Courier New"/>
          <w:color w:val="1A237E"/>
          <w:sz w:val="18"/>
          <w:szCs w:val="18"/>
        </w:rPr>
        <w:t xml:space="preserve">reply.header("Content-Type", "application/vnd.openxmlformats-...wordprocessingml.document");</w:t>
      </w:r>
    </w:p>
    <w:p>
      <w:pPr>
        <w:shd w:fill="F0F3F9" w:val="clear"/>
        <w:spacing w:after="40" w:before="40"/>
        <w:ind w:left="360"/>
      </w:pPr>
      <w:r>
        <w:rPr>
          <w:rFonts w:ascii="Courier New" w:cs="Courier New" w:eastAsia="Courier New" w:hAnsi="Courier New"/>
          <w:color w:val="1A237E"/>
          <w:sz w:val="18"/>
          <w:szCs w:val="18"/>
        </w:rPr>
        <w:t xml:space="preserve">reply.header("Content-Disposition", `attachment; filename="invoice-${invoiceData.invoice_number}.docx"`);</w:t>
      </w:r>
    </w:p>
    <w:p>
      <w:pPr>
        <w:shd w:fill="F0F3F9" w:val="clear"/>
        <w:spacing w:after="40" w:before="40"/>
        <w:ind w:left="360"/>
      </w:pPr>
      <w:r>
        <w:rPr>
          <w:rFonts w:ascii="Courier New" w:cs="Courier New" w:eastAsia="Courier New" w:hAnsi="Courier New"/>
          <w:color w:val="1A237E"/>
          <w:sz w:val="18"/>
          <w:szCs w:val="18"/>
        </w:rPr>
        <w:t xml:space="preserve">return reply.send(buf);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1F3A9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920"/>
            <w:tcBorders>
              <w:top w:val="single" w:color="DDDDDD" w:sz="1"/>
              <w:left w:val="single" w:color="DDDDDD" w:sz="1"/>
              <w:bottom w:val="single" w:color="DDDDDD" w:sz="1"/>
              <w:right w:val="single" w:color="DDDDDD" w:sz="1"/>
            </w:tcBorders>
            <w:shd w:fill="E8EBF7" w:val="clear"/>
            <w:tcMar>
              <w:top w:type="dxa" w:w="100"/>
              <w:left w:type="dxa" w:w="160"/>
              <w:bottom w:type="dxa" w:w="100"/>
              <w:right w:type="dxa" w:w="120"/>
            </w:tcMar>
          </w:tcPr>
          <w:p>
            <w:r>
              <w:rPr>
                <w:rFonts w:ascii="Arial" w:cs="Arial" w:eastAsia="Arial" w:hAnsi="Arial"/>
                <w:color w:val="1A1A2E"/>
                <w:sz w:val="22"/>
                <w:szCs w:val="22"/>
              </w:rPr>
              <w:t xml:space="preserve">Docxtemplater throws on unrecognised tags if error mode is strict. The current configuration uses the default error mode which silently ignores unknown tags. For production, consider enabling strict mode and returning a 422 with the list of unresolved fields.</w:t>
            </w:r>
          </w:p>
        </w:tc>
      </w:tr>
    </w:tbl>
    <w:p>
      <w:pPr>
        <w:spacing w:after="0" w:before="120"/>
      </w:pPr>
      <w:r>
        <w:t xml:space="preserve"/>
      </w:r>
    </w:p>
    <w:p>
      <w:pPr>
        <w:pStyle w:val="Heading2"/>
        <w:spacing w:after="100" w:before="320"/>
      </w:pPr>
      <w:r>
        <w:rPr>
          <w:rFonts w:ascii="Arial" w:cs="Arial" w:eastAsia="Arial" w:hAnsi="Arial"/>
          <w:b/>
          <w:bCs/>
          <w:color w:val="1F3A93"/>
          <w:sz w:val="28"/>
          <w:szCs w:val="28"/>
        </w:rPr>
        <w:t xml:space="preserve">5.3 File Storage</w:t>
      </w:r>
    </w:p>
    <w:p>
      <w:pPr>
        <w:spacing w:after="80" w:before="80"/>
      </w:pPr>
      <w:r>
        <w:rPr>
          <w:rFonts w:ascii="Arial" w:cs="Arial" w:eastAsia="Arial" w:hAnsi="Arial"/>
          <w:color w:val="555555"/>
          <w:sz w:val="22"/>
          <w:szCs w:val="22"/>
        </w:rPr>
        <w:t xml:space="preserve">Files are stored on the API server filesystem at:</w:t>
      </w:r>
    </w:p>
    <w:p>
      <w:pPr>
        <w:shd w:fill="F0F3F9" w:val="clear"/>
        <w:spacing w:after="40" w:before="40"/>
        <w:ind w:left="360"/>
      </w:pPr>
      <w:r>
        <w:rPr>
          <w:rFonts w:ascii="Courier New" w:cs="Courier New" w:eastAsia="Courier New" w:hAnsi="Courier New"/>
          <w:color w:val="1A237E"/>
          <w:sz w:val="18"/>
          <w:szCs w:val="18"/>
        </w:rPr>
        <w:t xml:space="preserve">uploads/templates/{tenant_id}/{uuid}.{ext}</w:t>
      </w:r>
    </w:p>
    <w:p>
      <w:pPr>
        <w:spacing w:after="0" w:before="120"/>
      </w:pPr>
      <w:r>
        <w:t xml:space="preserve"/>
      </w:r>
    </w:p>
    <w:p>
      <w:pPr>
        <w:spacing w:after="80" w:before="80"/>
      </w:pPr>
      <w:r>
        <w:rPr>
          <w:rFonts w:ascii="Arial" w:cs="Arial" w:eastAsia="Arial" w:hAnsi="Arial"/>
          <w:color w:val="555555"/>
          <w:sz w:val="22"/>
          <w:szCs w:val="22"/>
        </w:rPr>
        <w:t xml:space="preserve">The UPLOADS_DIR root defaults to process.cwd()/uploads/templates but can be overridden via the UPLOADS_DIR environment variable. In production this should point to a mounted volume or be replaced with S3/GCS object storage and a pre-signed URL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27AE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FUTURE</w:t>
            </w:r>
          </w:p>
        </w:tc>
        <w:tc>
          <w:tcPr>
            <w:tcW w:type="dxa" w:w="7920"/>
            <w:tcBorders>
              <w:top w:val="single" w:color="DDDDDD" w:sz="1"/>
              <w:left w:val="single" w:color="DDDDDD" w:sz="1"/>
              <w:bottom w:val="single" w:color="DDDDDD" w:sz="1"/>
              <w:right w:val="single" w:color="DDDDDD" w:sz="1"/>
            </w:tcBorders>
            <w:shd w:fill="FFF3CD" w:val="clear"/>
            <w:tcMar>
              <w:top w:type="dxa" w:w="100"/>
              <w:left w:type="dxa" w:w="160"/>
              <w:bottom w:type="dxa" w:w="100"/>
              <w:right w:type="dxa" w:w="120"/>
            </w:tcMar>
          </w:tcPr>
          <w:p>
            <w:r>
              <w:rPr>
                <w:rFonts w:ascii="Arial" w:cs="Arial" w:eastAsia="Arial" w:hAnsi="Arial"/>
                <w:color w:val="1A1A2E"/>
                <w:sz w:val="22"/>
                <w:szCs w:val="22"/>
              </w:rPr>
              <w:t xml:space="preserve">For production deployments at scale, replace local filesystem storage with S3-compatible object storage. The file_path column in invoice_templates should store the bucket key rather than an absolute path. The render route would then fetch from S3 into a buffer rather than using readFileSync.</w:t>
            </w:r>
          </w:p>
        </w:tc>
      </w:tr>
    </w:tbl>
    <w:p>
      <w:r>
        <w:br w:type="page"/>
      </w:r>
    </w:p>
    <w:p>
      <w:pPr>
        <w:pStyle w:val="Heading1"/>
        <w:pBdr>
          <w:bottom w:val="single" w:color="1F3A93" w:sz="6" w:space="8"/>
        </w:pBdr>
        <w:spacing w:after="160" w:before="480"/>
      </w:pPr>
      <w:bookmarkStart w:name="security" w:id="1"/>
      <w:r>
        <w:rPr>
          <w:rFonts w:ascii="Arial" w:cs="Arial" w:eastAsia="Arial" w:hAnsi="Arial"/>
          <w:b/>
          <w:bCs/>
          <w:color w:val="1A1A2E"/>
          <w:sz w:val="36"/>
          <w:szCs w:val="36"/>
        </w:rPr>
        <w:t xml:space="preserve">6. Security Considerations</w:t>
      </w:r>
      <w:bookmarkEnd w:id="1"/>
    </w:p>
    <w:p>
      <w:pPr>
        <w:pStyle w:val="Heading2"/>
        <w:spacing w:after="100" w:before="320"/>
      </w:pPr>
      <w:r>
        <w:rPr>
          <w:rFonts w:ascii="Arial" w:cs="Arial" w:eastAsia="Arial" w:hAnsi="Arial"/>
          <w:b/>
          <w:bCs/>
          <w:color w:val="1F3A93"/>
          <w:sz w:val="28"/>
          <w:szCs w:val="28"/>
        </w:rPr>
        <w:t xml:space="preserve">6.1 Access Control</w:t>
      </w:r>
    </w:p>
    <w:p>
      <w:pPr>
        <w:pStyle w:val="ListParagraph"/>
        <w:numPr>
          <w:ilvl w:val="0"/>
          <w:numId w:val="2"/>
        </w:numPr>
        <w:spacing w:after="40" w:before="40"/>
      </w:pPr>
      <w:r>
        <w:rPr>
          <w:rFonts w:ascii="Arial" w:cs="Arial" w:eastAsia="Arial" w:hAnsi="Arial"/>
          <w:b w:val="false"/>
          <w:bCs w:val="false"/>
          <w:color w:val="555555"/>
          <w:sz w:val="22"/>
          <w:szCs w:val="22"/>
        </w:rPr>
        <w:t xml:space="preserve">All template routes require authentication (401 without valid JWT or API key).</w:t>
      </w:r>
    </w:p>
    <w:p>
      <w:pPr>
        <w:pStyle w:val="ListParagraph"/>
        <w:numPr>
          <w:ilvl w:val="0"/>
          <w:numId w:val="2"/>
        </w:numPr>
        <w:spacing w:after="40" w:before="40"/>
      </w:pPr>
      <w:r>
        <w:rPr>
          <w:rFonts w:ascii="Arial" w:cs="Arial" w:eastAsia="Arial" w:hAnsi="Arial"/>
          <w:b w:val="false"/>
          <w:bCs w:val="false"/>
          <w:color w:val="555555"/>
          <w:sz w:val="22"/>
          <w:szCs w:val="22"/>
        </w:rPr>
        <w:t xml:space="preserve">Listing and rendering require billing:read — minimum agent role. Viewers cannot access billing data.</w:t>
      </w:r>
    </w:p>
    <w:p>
      <w:pPr>
        <w:pStyle w:val="ListParagraph"/>
        <w:numPr>
          <w:ilvl w:val="0"/>
          <w:numId w:val="2"/>
        </w:numPr>
        <w:spacing w:after="40" w:before="40"/>
      </w:pPr>
      <w:r>
        <w:rPr>
          <w:rFonts w:ascii="Arial" w:cs="Arial" w:eastAsia="Arial" w:hAnsi="Arial"/>
          <w:b w:val="false"/>
          <w:bCs w:val="false"/>
          <w:color w:val="555555"/>
          <w:sz w:val="22"/>
          <w:szCs w:val="22"/>
        </w:rPr>
        <w:t xml:space="preserve">Creating, updating, deleting, and uploading require billing:manage — minimum manager role.</w:t>
      </w:r>
    </w:p>
    <w:p>
      <w:pPr>
        <w:pStyle w:val="ListParagraph"/>
        <w:numPr>
          <w:ilvl w:val="0"/>
          <w:numId w:val="2"/>
        </w:numPr>
        <w:spacing w:after="40" w:before="40"/>
      </w:pPr>
      <w:r>
        <w:rPr>
          <w:rFonts w:ascii="Arial" w:cs="Arial" w:eastAsia="Arial" w:hAnsi="Arial"/>
          <w:b w:val="false"/>
          <w:bCs w:val="false"/>
          <w:color w:val="555555"/>
          <w:sz w:val="22"/>
          <w:szCs w:val="22"/>
        </w:rPr>
        <w:t xml:space="preserve">All DB queries run inside db.withTenant() which sets the RLS session variable, preventing cross-tenant data leakage at the database layer regardless of application-layer bugs.</w:t>
      </w:r>
    </w:p>
    <w:p>
      <w:pPr>
        <w:spacing w:after="0" w:before="120"/>
      </w:pPr>
      <w:r>
        <w:t xml:space="preserve"/>
      </w:r>
    </w:p>
    <w:p>
      <w:pPr>
        <w:pStyle w:val="Heading2"/>
        <w:spacing w:after="100" w:before="320"/>
      </w:pPr>
      <w:r>
        <w:rPr>
          <w:rFonts w:ascii="Arial" w:cs="Arial" w:eastAsia="Arial" w:hAnsi="Arial"/>
          <w:b/>
          <w:bCs/>
          <w:color w:val="1F3A93"/>
          <w:sz w:val="28"/>
          <w:szCs w:val="28"/>
        </w:rPr>
        <w:t xml:space="preserve">6.2 File Upload Security</w:t>
      </w:r>
    </w:p>
    <w:p>
      <w:pPr>
        <w:pStyle w:val="ListParagraph"/>
        <w:numPr>
          <w:ilvl w:val="0"/>
          <w:numId w:val="2"/>
        </w:numPr>
        <w:spacing w:after="40" w:before="40"/>
      </w:pPr>
      <w:r>
        <w:rPr>
          <w:rFonts w:ascii="Arial" w:cs="Arial" w:eastAsia="Arial" w:hAnsi="Arial"/>
          <w:b w:val="false"/>
          <w:bCs w:val="false"/>
          <w:color w:val="555555"/>
          <w:sz w:val="22"/>
          <w:szCs w:val="22"/>
        </w:rPr>
        <w:t xml:space="preserve">File size capped at 10 MB at the multipart plugin level — enforced before the route handler runs.</w:t>
      </w:r>
    </w:p>
    <w:p>
      <w:pPr>
        <w:pStyle w:val="ListParagraph"/>
        <w:numPr>
          <w:ilvl w:val="0"/>
          <w:numId w:val="2"/>
        </w:numPr>
        <w:spacing w:after="40" w:before="40"/>
      </w:pPr>
      <w:r>
        <w:rPr>
          <w:rFonts w:ascii="Arial" w:cs="Arial" w:eastAsia="Arial" w:hAnsi="Arial"/>
          <w:b w:val="false"/>
          <w:bCs w:val="false"/>
          <w:color w:val="555555"/>
          <w:sz w:val="22"/>
          <w:szCs w:val="22"/>
        </w:rPr>
        <w:t xml:space="preserve">MIME type validated before writing to disk.</w:t>
      </w:r>
    </w:p>
    <w:p>
      <w:pPr>
        <w:pStyle w:val="ListParagraph"/>
        <w:numPr>
          <w:ilvl w:val="0"/>
          <w:numId w:val="2"/>
        </w:numPr>
        <w:spacing w:after="40" w:before="40"/>
      </w:pPr>
      <w:r>
        <w:rPr>
          <w:rFonts w:ascii="Arial" w:cs="Arial" w:eastAsia="Arial" w:hAnsi="Arial"/>
          <w:b w:val="false"/>
          <w:bCs w:val="false"/>
          <w:color w:val="555555"/>
          <w:sz w:val="22"/>
          <w:szCs w:val="22"/>
        </w:rPr>
        <w:t xml:space="preserve">Uploaded filename is never used as the stored filename — a UUID is generated for every upload.</w:t>
      </w:r>
    </w:p>
    <w:p>
      <w:pPr>
        <w:pStyle w:val="ListParagraph"/>
        <w:numPr>
          <w:ilvl w:val="0"/>
          <w:numId w:val="2"/>
        </w:numPr>
        <w:spacing w:after="40" w:before="40"/>
      </w:pPr>
      <w:r>
        <w:rPr>
          <w:rFonts w:ascii="Arial" w:cs="Arial" w:eastAsia="Arial" w:hAnsi="Arial"/>
          <w:b w:val="false"/>
          <w:bCs w:val="false"/>
          <w:color w:val="555555"/>
          <w:sz w:val="22"/>
          <w:szCs w:val="22"/>
        </w:rPr>
        <w:t xml:space="preserve">Stored path is constructed from process.cwd() + tenant UUID + generated UUID — no user-controlled path components.</w:t>
      </w:r>
    </w:p>
    <w:p>
      <w:pPr>
        <w:pStyle w:val="ListParagraph"/>
        <w:numPr>
          <w:ilvl w:val="0"/>
          <w:numId w:val="2"/>
        </w:numPr>
        <w:spacing w:after="40" w:before="40"/>
      </w:pPr>
      <w:r>
        <w:rPr>
          <w:rFonts w:ascii="Arial" w:cs="Arial" w:eastAsia="Arial" w:hAnsi="Arial"/>
          <w:b w:val="false"/>
          <w:bCs w:val="false"/>
          <w:color w:val="555555"/>
          <w:sz w:val="22"/>
          <w:szCs w:val="22"/>
        </w:rPr>
        <w:t xml:space="preserve">Tenant upload directory is isolated: uploads/templates/{tenant_id}/. A tenant cannot access another tenant's directory.</w:t>
      </w:r>
    </w:p>
    <w:p>
      <w:pPr>
        <w:spacing w:after="0" w:before="120"/>
      </w:pPr>
      <w:r>
        <w:t xml:space="preserve"/>
      </w:r>
    </w:p>
    <w:p>
      <w:pPr>
        <w:pStyle w:val="Heading2"/>
        <w:spacing w:after="100" w:before="320"/>
      </w:pPr>
      <w:r>
        <w:rPr>
          <w:rFonts w:ascii="Arial" w:cs="Arial" w:eastAsia="Arial" w:hAnsi="Arial"/>
          <w:b/>
          <w:bCs/>
          <w:color w:val="1F3A93"/>
          <w:sz w:val="28"/>
          <w:szCs w:val="28"/>
        </w:rPr>
        <w:t xml:space="preserve">6.3 Input Validation</w:t>
      </w:r>
    </w:p>
    <w:p>
      <w:pPr>
        <w:pStyle w:val="ListParagraph"/>
        <w:numPr>
          <w:ilvl w:val="0"/>
          <w:numId w:val="2"/>
        </w:numPr>
        <w:spacing w:after="40" w:before="40"/>
      </w:pPr>
      <w:r>
        <w:rPr>
          <w:rFonts w:ascii="Arial" w:cs="Arial" w:eastAsia="Arial" w:hAnsi="Arial"/>
          <w:b w:val="false"/>
          <w:bCs w:val="false"/>
          <w:color w:val="555555"/>
          <w:sz w:val="22"/>
          <w:szCs w:val="22"/>
        </w:rPr>
        <w:t xml:space="preserve">All request bodies validated with Zod schemas before processing. Unknown fields are stripped.</w:t>
      </w:r>
    </w:p>
    <w:p>
      <w:pPr>
        <w:pStyle w:val="ListParagraph"/>
        <w:numPr>
          <w:ilvl w:val="0"/>
          <w:numId w:val="2"/>
        </w:numPr>
        <w:spacing w:after="40" w:before="40"/>
      </w:pPr>
      <w:r>
        <w:rPr>
          <w:rFonts w:ascii="Arial" w:cs="Arial" w:eastAsia="Arial" w:hAnsi="Arial"/>
          <w:b w:val="false"/>
          <w:bCs w:val="false"/>
          <w:color w:val="555555"/>
          <w:sz w:val="22"/>
          <w:szCs w:val="22"/>
        </w:rPr>
        <w:t xml:space="preserve">invoice_number uniqueness is enforced at the DB level with a per-tenant unique constraint.</w:t>
      </w:r>
    </w:p>
    <w:p>
      <w:pPr>
        <w:pStyle w:val="ListParagraph"/>
        <w:numPr>
          <w:ilvl w:val="0"/>
          <w:numId w:val="2"/>
        </w:numPr>
        <w:spacing w:after="40" w:before="40"/>
      </w:pPr>
      <w:r>
        <w:rPr>
          <w:rFonts w:ascii="Arial" w:cs="Arial" w:eastAsia="Arial" w:hAnsi="Arial"/>
          <w:b w:val="false"/>
          <w:bCs w:val="false"/>
          <w:color w:val="555555"/>
          <w:sz w:val="22"/>
          <w:szCs w:val="22"/>
        </w:rPr>
        <w:t xml:space="preserve">Template name is max 100 characters; layout must be a non-empty array.</w:t>
      </w:r>
    </w:p>
    <w:p>
      <w:pPr>
        <w:spacing w:after="0" w:before="120"/>
      </w:pPr>
      <w:r>
        <w:t xml:space="preserve"/>
      </w:r>
    </w:p>
    <w:p>
      <w:pPr>
        <w:pStyle w:val="Heading2"/>
        <w:spacing w:after="100" w:before="320"/>
      </w:pPr>
      <w:r>
        <w:rPr>
          <w:rFonts w:ascii="Arial" w:cs="Arial" w:eastAsia="Arial" w:hAnsi="Arial"/>
          <w:b/>
          <w:bCs/>
          <w:color w:val="1F3A93"/>
          <w:sz w:val="28"/>
          <w:szCs w:val="28"/>
        </w:rPr>
        <w:t xml:space="preserve">6.4 SQL Injection</w:t>
      </w:r>
    </w:p>
    <w:p>
      <w:pPr>
        <w:pStyle w:val="ListParagraph"/>
        <w:numPr>
          <w:ilvl w:val="0"/>
          <w:numId w:val="2"/>
        </w:numPr>
        <w:spacing w:after="40" w:before="40"/>
      </w:pPr>
      <w:r>
        <w:rPr>
          <w:rFonts w:ascii="Arial" w:cs="Arial" w:eastAsia="Arial" w:hAnsi="Arial"/>
          <w:b w:val="false"/>
          <w:bCs w:val="false"/>
          <w:color w:val="555555"/>
          <w:sz w:val="22"/>
          <w:szCs w:val="22"/>
        </w:rPr>
        <w:t xml:space="preserve">All DB queries use parameterized queries ($1, $2, ...) exclusively. No string interpolation in SQL.</w:t>
      </w:r>
    </w:p>
    <w:p>
      <w:pPr>
        <w:pStyle w:val="ListParagraph"/>
        <w:numPr>
          <w:ilvl w:val="0"/>
          <w:numId w:val="2"/>
        </w:numPr>
        <w:spacing w:after="40" w:before="40"/>
      </w:pPr>
      <w:r>
        <w:rPr>
          <w:rFonts w:ascii="Arial" w:cs="Arial" w:eastAsia="Arial" w:hAnsi="Arial"/>
          <w:b w:val="false"/>
          <w:bCs w:val="false"/>
          <w:color w:val="555555"/>
          <w:sz w:val="22"/>
          <w:szCs w:val="22"/>
        </w:rPr>
        <w:t xml:space="preserve">RLS policies provide a second layer of defense — even a successfully injected query cannot access other tenants' rows without bypassing the session variable set by db.withTenant().</w:t>
      </w:r>
    </w:p>
    <w:p>
      <w:r>
        <w:br w:type="page"/>
      </w:r>
    </w:p>
    <w:p>
      <w:pPr>
        <w:pStyle w:val="Heading1"/>
        <w:pBdr>
          <w:bottom w:val="single" w:color="1F3A93" w:sz="6" w:space="8"/>
        </w:pBdr>
        <w:spacing w:after="160" w:before="480"/>
      </w:pPr>
      <w:bookmarkStart w:name="bugs" w:id="1"/>
      <w:r>
        <w:rPr>
          <w:rFonts w:ascii="Arial" w:cs="Arial" w:eastAsia="Arial" w:hAnsi="Arial"/>
          <w:b/>
          <w:bCs/>
          <w:color w:val="1A1A2E"/>
          <w:sz w:val="36"/>
          <w:szCs w:val="36"/>
        </w:rPr>
        <w:t xml:space="preserve">7. Bugs Fixed During This Session</w:t>
      </w:r>
      <w:bookmarkEnd w:id="1"/>
    </w:p>
    <w:p>
      <w:pPr>
        <w:pStyle w:val="Heading2"/>
        <w:spacing w:after="100" w:before="320"/>
      </w:pPr>
      <w:r>
        <w:rPr>
          <w:rFonts w:ascii="Arial" w:cs="Arial" w:eastAsia="Arial" w:hAnsi="Arial"/>
          <w:b/>
          <w:bCs/>
          <w:color w:val="1F3A93"/>
          <w:sz w:val="28"/>
          <w:szCs w:val="28"/>
        </w:rPr>
        <w:t xml:space="preserve">7.1 billing:read / billing:manage Missing from ApiScope</w:t>
      </w:r>
    </w:p>
    <w:p>
      <w:pPr>
        <w:spacing w:after="80" w:before="80"/>
      </w:pPr>
      <w:r>
        <w:rPr>
          <w:rFonts w:ascii="Arial" w:cs="Arial" w:eastAsia="Arial" w:hAnsi="Arial"/>
          <w:color w:val="555555"/>
          <w:sz w:val="22"/>
          <w:szCs w:val="22"/>
        </w:rPr>
        <w:t xml:space="preserve">Root cause: The requireScope() middleware maps each scope to a minimum role level via SCOPE_MIN_ROLE. If a scope is not in the map, it defaults to 999 (higher than any role), causing every request to return 403. The new billing scopes were wired into the middleware map but were never added to the ApiScope TypeScript union type, so TypeScript rejected them at compile time.</w:t>
      </w:r>
    </w:p>
    <w:p>
      <w:pPr>
        <w:spacing w:after="0" w:before="120"/>
      </w:pPr>
      <w:r>
        <w:t xml:space="preserve"/>
      </w:r>
    </w:p>
    <w:p>
      <w:pPr>
        <w:spacing w:after="80" w:before="80"/>
      </w:pPr>
      <w:r>
        <w:rPr>
          <w:rFonts w:ascii="Arial" w:cs="Arial" w:eastAsia="Arial" w:hAnsi="Arial"/>
          <w:color w:val="555555"/>
          <w:sz w:val="22"/>
          <w:szCs w:val="22"/>
        </w:rPr>
        <w:t xml:space="preserve">Fix: Added both scopes to the union type in packages/shared/src/types/api.ts and api.d.ts. Rebuilt the shared package. Both scopes then resolved correctly in the middleware map.</w:t>
      </w:r>
    </w:p>
    <w:p>
      <w:pPr>
        <w:spacing w:after="0" w:before="120"/>
      </w:pPr>
      <w:r>
        <w:t xml:space="preserve"/>
      </w:r>
    </w:p>
    <w:p>
      <w:pPr>
        <w:pStyle w:val="Heading2"/>
        <w:spacing w:after="100" w:before="320"/>
      </w:pPr>
      <w:r>
        <w:rPr>
          <w:rFonts w:ascii="Arial" w:cs="Arial" w:eastAsia="Arial" w:hAnsi="Arial"/>
          <w:b/>
          <w:bCs/>
          <w:color w:val="1F3A93"/>
          <w:sz w:val="28"/>
          <w:szCs w:val="28"/>
        </w:rPr>
        <w:t xml:space="preserve">7.2 db.withTenant() Return Type Misuse</w:t>
      </w:r>
    </w:p>
    <w:p>
      <w:pPr>
        <w:spacing w:after="80" w:before="80"/>
      </w:pPr>
      <w:r>
        <w:rPr>
          <w:rFonts w:ascii="Arial" w:cs="Arial" w:eastAsia="Arial" w:hAnsi="Arial"/>
          <w:color w:val="555555"/>
          <w:sz w:val="22"/>
          <w:szCs w:val="22"/>
        </w:rPr>
        <w:t xml:space="preserve">Root cause: db.withTenant() passes the callback's return value through. client.query() returns a QueryResult object { rows, rowCount, fields, ... }, not an array. Multiple call sites were treating the return value as an array (e.g., const [inv] = await db.withTenant(...)) which caused "not iterable" errors at runtime.</w:t>
      </w:r>
    </w:p>
    <w:p>
      <w:pPr>
        <w:spacing w:after="0" w:before="120"/>
      </w:pPr>
      <w:r>
        <w:t xml:space="preserve"/>
      </w:r>
    </w:p>
    <w:p>
      <w:pPr>
        <w:spacing w:after="80" w:before="80"/>
      </w:pPr>
      <w:r>
        <w:rPr>
          <w:rFonts w:ascii="Arial" w:cs="Arial" w:eastAsia="Arial" w:hAnsi="Arial"/>
          <w:color w:val="555555"/>
          <w:sz w:val="22"/>
          <w:szCs w:val="22"/>
        </w:rPr>
        <w:t xml:space="preserve">Fix: Updated all affected call sites to destructure .rows from the result before accessing individual records:</w:t>
      </w:r>
    </w:p>
    <w:p>
      <w:pPr>
        <w:spacing w:after="0" w:before="120"/>
      </w:pPr>
      <w:r>
        <w:t xml:space="preserve"/>
      </w:r>
    </w:p>
    <w:p>
      <w:pPr>
        <w:shd w:fill="F0F3F9" w:val="clear"/>
        <w:spacing w:after="40" w:before="40"/>
        <w:ind w:left="360"/>
      </w:pPr>
      <w:r>
        <w:rPr>
          <w:rFonts w:ascii="Courier New" w:cs="Courier New" w:eastAsia="Courier New" w:hAnsi="Courier New"/>
          <w:color w:val="1A237E"/>
          <w:sz w:val="18"/>
          <w:szCs w:val="18"/>
        </w:rPr>
        <w:t xml:space="preserve">// Before (broken):</w:t>
      </w:r>
    </w:p>
    <w:p>
      <w:pPr>
        <w:shd w:fill="F0F3F9" w:val="clear"/>
        <w:spacing w:after="40" w:before="40"/>
        <w:ind w:left="360"/>
      </w:pPr>
      <w:r>
        <w:rPr>
          <w:rFonts w:ascii="Courier New" w:cs="Courier New" w:eastAsia="Courier New" w:hAnsi="Courier New"/>
          <w:color w:val="1A237E"/>
          <w:sz w:val="18"/>
          <w:szCs w:val="18"/>
        </w:rPr>
        <w:t xml:space="preserve">const [inv] = await db.withTenant(tid, c =&gt; c.query(...))</w:t>
      </w:r>
    </w:p>
    <w:p>
      <w:pPr>
        <w:shd w:fill="F0F3F9" w:val="clear"/>
        <w:spacing w:after="40" w:before="40"/>
        <w:ind w:left="360"/>
      </w:pPr>
      <w:r>
        <w:rPr>
          <w:rFonts w:ascii="Courier New" w:cs="Courier New" w:eastAsia="Courier New" w:hAnsi="Courier New"/>
          <w:color w:val="1A237E"/>
          <w:sz w:val="18"/>
          <w:szCs w:val="18"/>
        </w:rPr>
        <w:t xml:space="preserve"/>
      </w:r>
    </w:p>
    <w:p>
      <w:pPr>
        <w:shd w:fill="F0F3F9" w:val="clear"/>
        <w:spacing w:after="40" w:before="40"/>
        <w:ind w:left="360"/>
      </w:pPr>
      <w:r>
        <w:rPr>
          <w:rFonts w:ascii="Courier New" w:cs="Courier New" w:eastAsia="Courier New" w:hAnsi="Courier New"/>
          <w:color w:val="1A237E"/>
          <w:sz w:val="18"/>
          <w:szCs w:val="18"/>
        </w:rPr>
        <w:t xml:space="preserve">// After (correct):</w:t>
      </w:r>
    </w:p>
    <w:p>
      <w:pPr>
        <w:shd w:fill="F0F3F9" w:val="clear"/>
        <w:spacing w:after="40" w:before="40"/>
        <w:ind w:left="360"/>
      </w:pPr>
      <w:r>
        <w:rPr>
          <w:rFonts w:ascii="Courier New" w:cs="Courier New" w:eastAsia="Courier New" w:hAnsi="Courier New"/>
          <w:color w:val="1A237E"/>
          <w:sz w:val="18"/>
          <w:szCs w:val="18"/>
        </w:rPr>
        <w:t xml:space="preserve">const { rows: [inv] } = await db.withTenant(tid, c =&gt; c.query(...))</w:t>
      </w:r>
    </w:p>
    <w:p>
      <w:pPr>
        <w:shd w:fill="F0F3F9" w:val="clear"/>
        <w:spacing w:after="40" w:before="40"/>
        <w:ind w:left="360"/>
      </w:pPr>
      <w:r>
        <w:rPr>
          <w:rFonts w:ascii="Courier New" w:cs="Courier New" w:eastAsia="Courier New" w:hAnsi="Courier New"/>
          <w:color w:val="1A237E"/>
          <w:sz w:val="18"/>
          <w:szCs w:val="18"/>
        </w:rPr>
        <w:t xml:space="preserve">// or for lists:</w:t>
      </w:r>
    </w:p>
    <w:p>
      <w:pPr>
        <w:shd w:fill="F0F3F9" w:val="clear"/>
        <w:spacing w:after="40" w:before="40"/>
        <w:ind w:left="360"/>
      </w:pPr>
      <w:r>
        <w:rPr>
          <w:rFonts w:ascii="Courier New" w:cs="Courier New" w:eastAsia="Courier New" w:hAnsi="Courier New"/>
          <w:color w:val="1A237E"/>
          <w:sz w:val="18"/>
          <w:szCs w:val="18"/>
        </w:rPr>
        <w:t xml:space="preserve">const { rows } = await db.withTenant(tid, c =&gt; c.query(...))</w:t>
      </w:r>
    </w:p>
    <w:p>
      <w:pPr>
        <w:spacing w:after="0" w:before="120"/>
      </w:pPr>
      <w:r>
        <w:t xml:space="preserve"/>
      </w:r>
    </w:p>
    <w:p>
      <w:pPr>
        <w:pStyle w:val="Heading2"/>
        <w:spacing w:after="100" w:before="320"/>
      </w:pPr>
      <w:r>
        <w:rPr>
          <w:rFonts w:ascii="Arial" w:cs="Arial" w:eastAsia="Arial" w:hAnsi="Arial"/>
          <w:b/>
          <w:bCs/>
          <w:color w:val="1F3A93"/>
          <w:sz w:val="28"/>
          <w:szCs w:val="28"/>
        </w:rPr>
        <w:t xml:space="preserve">7.3 Global Invoice Number Uniqueness Constraint</w:t>
      </w:r>
    </w:p>
    <w:p>
      <w:pPr>
        <w:spacing w:after="80" w:before="80"/>
      </w:pPr>
      <w:r>
        <w:rPr>
          <w:rFonts w:ascii="Arial" w:cs="Arial" w:eastAsia="Arial" w:hAnsi="Arial"/>
          <w:color w:val="555555"/>
          <w:sz w:val="22"/>
          <w:szCs w:val="22"/>
        </w:rPr>
        <w:t xml:space="preserve">Root cause: The invoices table had a global UNIQUE constraint on invoice_number. When two separate tenants both attempted to create their first invoice (INV-0001), the second insert failed with a duplicate key violation.</w:t>
      </w:r>
    </w:p>
    <w:p>
      <w:pPr>
        <w:spacing w:after="0" w:before="120"/>
      </w:pPr>
      <w:r>
        <w:t xml:space="preserve"/>
      </w:r>
    </w:p>
    <w:p>
      <w:pPr>
        <w:spacing w:after="80" w:before="80"/>
      </w:pPr>
      <w:r>
        <w:rPr>
          <w:rFonts w:ascii="Arial" w:cs="Arial" w:eastAsia="Arial" w:hAnsi="Arial"/>
          <w:color w:val="555555"/>
          <w:sz w:val="22"/>
          <w:szCs w:val="22"/>
        </w:rPr>
        <w:t xml:space="preserve">Fix: Dropped the global constraint and replaced it with a composite unique constraint on (tenant_id, invoice_number). Each tenant now has its own independent number sequence.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555555"/>
        <w:sz w:val="16"/>
        <w:szCs w:val="16"/>
      </w:rPr>
      <w:t xml:space="preserve">CONFIDENTIAL — Internal Use Only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93" w:sz="4" w:space="4"/>
      </w:pBdr>
      <w:jc w:val="right"/>
    </w:pPr>
    <w:r>
      <w:rPr>
        <w:rFonts w:ascii="Arial" w:cs="Arial" w:eastAsia="Arial" w:hAnsi="Arial"/>
        <w:b/>
        <w:bCs/>
        <w:color w:val="1F3A93"/>
        <w:sz w:val="18"/>
        <w:szCs w:val="18"/>
      </w:rPr>
      <w:t xml:space="preserve">SOFTWARE DESIGN DOCUMENT — Session 2</w:t>
    </w:r>
    <w:r>
      <w:rPr>
        <w:rFonts w:ascii="Arial" w:cs="Arial" w:eastAsia="Arial" w:hAnsi="Arial"/>
        <w:color w:val="555555"/>
        <w:sz w:val="18"/>
        <w:szCs w:val="18"/>
      </w:rPr>
      <w:t xml:space="preserve">     CRM Platform     June 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F3A9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2026-06-19T09:13:23.865Z</dcterms:created>
  <dcterms:modified xsi:type="dcterms:W3CDTF">2026-06-19T09:13:23.865Z</dcterms:modified>
</cp:coreProperties>
</file>

<file path=docProps/custom.xml><?xml version="1.0" encoding="utf-8"?>
<Properties xmlns="http://schemas.openxmlformats.org/officeDocument/2006/custom-properties" xmlns:vt="http://schemas.openxmlformats.org/officeDocument/2006/docPropsVTypes"/>
</file>