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96AD" w14:textId="01EA58FF" w:rsidR="00BB25C9" w:rsidRDefault="00787BAC">
      <w:pPr>
        <w:rPr>
          <w:b/>
          <w:sz w:val="32"/>
          <w:szCs w:val="32"/>
        </w:rPr>
      </w:pPr>
      <w:r>
        <w:rPr>
          <w:b/>
          <w:sz w:val="32"/>
          <w:szCs w:val="32"/>
        </w:rPr>
        <w:t>Highlights</w:t>
      </w:r>
    </w:p>
    <w:p w14:paraId="6C5F18DF" w14:textId="233F4A9D" w:rsidR="00787BAC" w:rsidRDefault="00EC4CEC" w:rsidP="00787BAC">
      <w:pPr>
        <w:pStyle w:val="ListParagraph"/>
        <w:numPr>
          <w:ilvl w:val="0"/>
          <w:numId w:val="1"/>
        </w:numPr>
      </w:pPr>
      <w:r>
        <w:t>Life cycle assessments for solar farms early on could reduce emissions and costs.</w:t>
      </w:r>
    </w:p>
    <w:p w14:paraId="7901282A" w14:textId="40E9C088" w:rsidR="00EC4CEC" w:rsidRDefault="00EC4CEC" w:rsidP="00787BAC">
      <w:pPr>
        <w:pStyle w:val="ListParagraph"/>
        <w:numPr>
          <w:ilvl w:val="0"/>
          <w:numId w:val="1"/>
        </w:numPr>
      </w:pPr>
      <w:r>
        <w:t>From our model, battery decommissioning is the largest source of emissions.</w:t>
      </w:r>
    </w:p>
    <w:p w14:paraId="2D2D08D7" w14:textId="6DD36202" w:rsidR="00EC4CEC" w:rsidRDefault="00EC4CEC" w:rsidP="00787BAC">
      <w:pPr>
        <w:pStyle w:val="ListParagraph"/>
        <w:numPr>
          <w:ilvl w:val="0"/>
          <w:numId w:val="1"/>
        </w:numPr>
      </w:pPr>
      <w:r>
        <w:t>Emissions peak at the start and end of the solar farm’s lifecycle.</w:t>
      </w:r>
    </w:p>
    <w:p w14:paraId="4BC821DF" w14:textId="62588A13" w:rsidR="00EC4CEC" w:rsidRDefault="00DB3989" w:rsidP="00787BAC">
      <w:pPr>
        <w:pStyle w:val="ListParagraph"/>
        <w:numPr>
          <w:ilvl w:val="0"/>
          <w:numId w:val="1"/>
        </w:numPr>
      </w:pPr>
      <w:r>
        <w:t xml:space="preserve">The farm’s payback period was within the </w:t>
      </w:r>
      <w:proofErr w:type="gramStart"/>
      <w:r>
        <w:t>2-13 year</w:t>
      </w:r>
      <w:proofErr w:type="gramEnd"/>
      <w:r>
        <w:t xml:space="preserve"> periods indicated in literature.</w:t>
      </w:r>
    </w:p>
    <w:p w14:paraId="548916D3" w14:textId="1EB94C58" w:rsidR="00DB3989" w:rsidRDefault="00DB3989" w:rsidP="00787BAC">
      <w:pPr>
        <w:pStyle w:val="ListParagraph"/>
        <w:numPr>
          <w:ilvl w:val="0"/>
          <w:numId w:val="1"/>
        </w:numPr>
      </w:pPr>
      <w:r>
        <w:t>Early-stage solar life cycle assessments can optimise sustainable development.</w:t>
      </w:r>
    </w:p>
    <w:sectPr w:rsidR="00DB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3D21"/>
    <w:multiLevelType w:val="hybridMultilevel"/>
    <w:tmpl w:val="DC44A8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AC"/>
    <w:rsid w:val="00787BAC"/>
    <w:rsid w:val="00984229"/>
    <w:rsid w:val="00AB7927"/>
    <w:rsid w:val="00BB25C9"/>
    <w:rsid w:val="00DB3989"/>
    <w:rsid w:val="00E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FB6C"/>
  <w15:chartTrackingRefBased/>
  <w15:docId w15:val="{EB37357A-7F88-40F2-BFEA-55E89294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AC"/>
    <w:rPr>
      <w:rFonts w:ascii="Times New Roman" w:eastAsiaTheme="minorEastAsia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RYAN017@e.ntu.edu.sg</dc:creator>
  <cp:keywords/>
  <dc:description/>
  <cp:lastModifiedBy>Ryan Lazaroo</cp:lastModifiedBy>
  <cp:revision>1</cp:revision>
  <dcterms:created xsi:type="dcterms:W3CDTF">2023-10-19T13:25:00Z</dcterms:created>
  <dcterms:modified xsi:type="dcterms:W3CDTF">2023-10-19T13:56:00Z</dcterms:modified>
</cp:coreProperties>
</file>