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06CD6" w14:textId="37A58FB1" w:rsidR="00A8247E" w:rsidRPr="00B86A3B" w:rsidRDefault="001434E7" w:rsidP="00B86A3B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A Monte Carlo Based </w:t>
      </w:r>
      <w:r w:rsidR="000362A6">
        <w:rPr>
          <w:rFonts w:ascii="Times New Roman" w:hAnsi="Times New Roman" w:cs="Times New Roman"/>
          <w:sz w:val="24"/>
          <w:szCs w:val="24"/>
          <w:u w:val="single"/>
        </w:rPr>
        <w:t>Approach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to</w:t>
      </w:r>
      <w:r w:rsidR="00BB3A3C" w:rsidRPr="00B86A3B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C62ADD" w:rsidRPr="00B86A3B">
        <w:rPr>
          <w:rFonts w:ascii="Times New Roman" w:hAnsi="Times New Roman" w:cs="Times New Roman"/>
          <w:sz w:val="24"/>
          <w:szCs w:val="24"/>
          <w:u w:val="single"/>
        </w:rPr>
        <w:t xml:space="preserve">Greenhouse Gases Emissions </w:t>
      </w:r>
      <w:r>
        <w:rPr>
          <w:rFonts w:ascii="Times New Roman" w:hAnsi="Times New Roman" w:cs="Times New Roman"/>
          <w:sz w:val="24"/>
          <w:szCs w:val="24"/>
          <w:u w:val="single"/>
        </w:rPr>
        <w:t>Modelling and Forecasting</w:t>
      </w:r>
    </w:p>
    <w:p w14:paraId="7360D0DD" w14:textId="6AF4F614" w:rsidR="00B86A3B" w:rsidRPr="00B86A3B" w:rsidRDefault="00B86A3B" w:rsidP="00B86A3B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4"/>
          <w:szCs w:val="24"/>
        </w:rPr>
      </w:pPr>
      <w:r w:rsidRPr="03A538BF">
        <w:rPr>
          <w:rFonts w:ascii="Times New Roman" w:hAnsi="Times New Roman" w:cs="Times New Roman"/>
          <w:sz w:val="24"/>
          <w:szCs w:val="24"/>
        </w:rPr>
        <w:t>Munish Kumar</w:t>
      </w:r>
    </w:p>
    <w:p w14:paraId="4B75B81B" w14:textId="77777777" w:rsidR="009A1FE8" w:rsidRDefault="001434E7" w:rsidP="00B86A3B">
      <w:pPr>
        <w:spacing w:beforeAutospacing="1" w:afterAutospacing="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importance of </w:t>
      </w:r>
      <w:r w:rsidRPr="03A538BF">
        <w:rPr>
          <w:rFonts w:ascii="Times New Roman" w:hAnsi="Times New Roman" w:cs="Times New Roman"/>
          <w:sz w:val="24"/>
          <w:szCs w:val="24"/>
        </w:rPr>
        <w:t>greenhouse gas (GHG) inventory assessment, monitoring and auditing becomes increasingly necessary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3A538BF">
        <w:rPr>
          <w:rFonts w:ascii="Times New Roman" w:hAnsi="Times New Roman" w:cs="Times New Roman"/>
          <w:sz w:val="24"/>
          <w:szCs w:val="24"/>
        </w:rPr>
        <w:t>in oil and gas project evaluations.</w:t>
      </w:r>
      <w:r>
        <w:rPr>
          <w:rFonts w:ascii="Times New Roman" w:hAnsi="Times New Roman" w:cs="Times New Roman"/>
          <w:sz w:val="24"/>
          <w:szCs w:val="24"/>
        </w:rPr>
        <w:t xml:space="preserve"> As the industry (as a whole) is looking towards “net-zero” goals/targets, some companies have begun carrying </w:t>
      </w:r>
      <w:r w:rsidR="000132D4" w:rsidRPr="03A538BF">
        <w:rPr>
          <w:rFonts w:ascii="Times New Roman" w:hAnsi="Times New Roman" w:cs="Times New Roman"/>
          <w:sz w:val="24"/>
          <w:szCs w:val="24"/>
        </w:rPr>
        <w:t>“internal</w:t>
      </w:r>
      <w:r w:rsidR="001739FE" w:rsidRPr="03A538BF">
        <w:rPr>
          <w:rFonts w:ascii="Times New Roman" w:hAnsi="Times New Roman" w:cs="Times New Roman"/>
          <w:sz w:val="24"/>
          <w:szCs w:val="24"/>
        </w:rPr>
        <w:t>”</w:t>
      </w:r>
      <w:r w:rsidR="000132D4" w:rsidRPr="03A538BF">
        <w:rPr>
          <w:rFonts w:ascii="Times New Roman" w:hAnsi="Times New Roman" w:cs="Times New Roman"/>
          <w:sz w:val="24"/>
          <w:szCs w:val="24"/>
        </w:rPr>
        <w:t xml:space="preserve"> carbon</w:t>
      </w:r>
      <w:r w:rsidR="00B86A3B" w:rsidRPr="03A538BF">
        <w:rPr>
          <w:rFonts w:ascii="Times New Roman" w:hAnsi="Times New Roman" w:cs="Times New Roman"/>
          <w:sz w:val="24"/>
          <w:szCs w:val="24"/>
        </w:rPr>
        <w:t xml:space="preserve"> cost</w:t>
      </w:r>
      <w:r>
        <w:rPr>
          <w:rFonts w:ascii="Times New Roman" w:hAnsi="Times New Roman" w:cs="Times New Roman"/>
          <w:sz w:val="24"/>
          <w:szCs w:val="24"/>
        </w:rPr>
        <w:t>s,</w:t>
      </w:r>
      <w:r w:rsidR="000132D4" w:rsidRPr="03A538BF">
        <w:rPr>
          <w:rFonts w:ascii="Times New Roman" w:hAnsi="Times New Roman" w:cs="Times New Roman"/>
          <w:sz w:val="24"/>
          <w:szCs w:val="24"/>
        </w:rPr>
        <w:t xml:space="preserve"> reflected in projected CAPEX and OPEX.</w:t>
      </w:r>
      <w:r w:rsidR="001739FE" w:rsidRPr="03A538B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Companies that do this often want to be proactive in analysing their carbon footprint. </w:t>
      </w:r>
    </w:p>
    <w:p w14:paraId="70DBD17A" w14:textId="6C9B9E5D" w:rsidR="001434E7" w:rsidRDefault="001434E7" w:rsidP="00B86A3B">
      <w:pPr>
        <w:spacing w:beforeAutospacing="1" w:afterAutospacing="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Currently, companies only report their emissions “post-production”</w:t>
      </w:r>
      <w:r w:rsidR="0081513E">
        <w:rPr>
          <w:rFonts w:ascii="Times New Roman" w:hAnsi="Times New Roman" w:cs="Times New Roman"/>
          <w:sz w:val="24"/>
          <w:szCs w:val="24"/>
        </w:rPr>
        <w:t xml:space="preserve"> (</w:t>
      </w:r>
      <w:r w:rsidR="0081513E" w:rsidRPr="03A538BF">
        <w:rPr>
          <w:rFonts w:ascii="Times New Roman" w:hAnsi="Times New Roman" w:cs="Times New Roman"/>
          <w:sz w:val="24"/>
          <w:szCs w:val="24"/>
        </w:rPr>
        <w:t>calculated from produced, processed and used volumes</w:t>
      </w:r>
      <w:r w:rsidR="0081513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but shareholders and markets are demanding increasing transparency and are expressing interest in knowing beforehand what volumes of GHG </w:t>
      </w:r>
      <w:r w:rsidR="0081513E">
        <w:rPr>
          <w:rFonts w:ascii="Times New Roman" w:hAnsi="Times New Roman" w:cs="Times New Roman"/>
          <w:sz w:val="24"/>
          <w:szCs w:val="24"/>
        </w:rPr>
        <w:t xml:space="preserve">could potentially be produced, to mitigate/plan-for GHG </w:t>
      </w:r>
      <w:r w:rsidR="0081513E" w:rsidRPr="03A538BF">
        <w:rPr>
          <w:rFonts w:ascii="Times New Roman" w:hAnsi="Times New Roman" w:cs="Times New Roman"/>
          <w:sz w:val="24"/>
          <w:szCs w:val="24"/>
        </w:rPr>
        <w:t>“hot-spots”</w:t>
      </w:r>
      <w:r w:rsidR="0081513E">
        <w:rPr>
          <w:rFonts w:ascii="Times New Roman" w:hAnsi="Times New Roman" w:cs="Times New Roman"/>
          <w:sz w:val="24"/>
          <w:szCs w:val="24"/>
        </w:rPr>
        <w:t xml:space="preserve">. However, </w:t>
      </w:r>
      <w:r>
        <w:rPr>
          <w:rFonts w:ascii="Times New Roman" w:hAnsi="Times New Roman" w:cs="Times New Roman"/>
          <w:sz w:val="24"/>
          <w:szCs w:val="24"/>
        </w:rPr>
        <w:t xml:space="preserve">forecasting </w:t>
      </w:r>
      <w:r w:rsidR="0081513E">
        <w:rPr>
          <w:rFonts w:ascii="Times New Roman" w:hAnsi="Times New Roman" w:cs="Times New Roman"/>
          <w:sz w:val="24"/>
          <w:szCs w:val="24"/>
        </w:rPr>
        <w:t xml:space="preserve">GHG </w:t>
      </w:r>
      <w:r>
        <w:rPr>
          <w:rFonts w:ascii="Times New Roman" w:hAnsi="Times New Roman" w:cs="Times New Roman"/>
          <w:sz w:val="24"/>
          <w:szCs w:val="24"/>
        </w:rPr>
        <w:t xml:space="preserve">is challenging, because there is often a lack of clarity as to </w:t>
      </w:r>
      <w:r w:rsidR="0081513E">
        <w:rPr>
          <w:rFonts w:ascii="Times New Roman" w:hAnsi="Times New Roman" w:cs="Times New Roman"/>
          <w:sz w:val="24"/>
          <w:szCs w:val="24"/>
        </w:rPr>
        <w:t>whether</w:t>
      </w:r>
      <w:r>
        <w:rPr>
          <w:rFonts w:ascii="Times New Roman" w:hAnsi="Times New Roman" w:cs="Times New Roman"/>
          <w:sz w:val="24"/>
          <w:szCs w:val="24"/>
        </w:rPr>
        <w:t xml:space="preserve"> a particular source of emission should fall under Scope 1, Scope 2 or Scope 3</w:t>
      </w:r>
      <w:r w:rsidR="009A1FE8">
        <w:rPr>
          <w:rFonts w:ascii="Times New Roman" w:hAnsi="Times New Roman" w:cs="Times New Roman"/>
          <w:sz w:val="24"/>
          <w:szCs w:val="24"/>
        </w:rPr>
        <w:t xml:space="preserve"> or what potential sources of GHG uncertainty there is</w:t>
      </w:r>
      <w:r>
        <w:rPr>
          <w:rFonts w:ascii="Times New Roman" w:hAnsi="Times New Roman" w:cs="Times New Roman"/>
          <w:sz w:val="24"/>
          <w:szCs w:val="24"/>
        </w:rPr>
        <w:t>.</w:t>
      </w:r>
      <w:r w:rsidR="0081513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06FEA3" w14:textId="71424407" w:rsidR="00C60D2A" w:rsidRDefault="001739FE" w:rsidP="00C60D2A">
      <w:pPr>
        <w:jc w:val="both"/>
        <w:rPr>
          <w:rFonts w:ascii="Times New Roman" w:hAnsi="Times New Roman" w:cs="Times New Roman"/>
          <w:sz w:val="24"/>
          <w:szCs w:val="24"/>
        </w:rPr>
      </w:pPr>
      <w:r w:rsidRPr="03A538BF">
        <w:rPr>
          <w:rFonts w:ascii="Times New Roman" w:hAnsi="Times New Roman" w:cs="Times New Roman"/>
          <w:sz w:val="24"/>
          <w:szCs w:val="24"/>
        </w:rPr>
        <w:t xml:space="preserve">In this paper, </w:t>
      </w:r>
      <w:r w:rsidR="00F511C0">
        <w:rPr>
          <w:rFonts w:ascii="Times New Roman" w:hAnsi="Times New Roman" w:cs="Times New Roman"/>
          <w:sz w:val="24"/>
          <w:szCs w:val="24"/>
        </w:rPr>
        <w:t>I</w:t>
      </w:r>
      <w:r w:rsidRPr="03A538BF">
        <w:rPr>
          <w:rFonts w:ascii="Times New Roman" w:hAnsi="Times New Roman" w:cs="Times New Roman"/>
          <w:sz w:val="24"/>
          <w:szCs w:val="24"/>
        </w:rPr>
        <w:t xml:space="preserve"> will </w:t>
      </w:r>
      <w:r w:rsidR="00C60D2A" w:rsidRPr="03A538BF">
        <w:rPr>
          <w:rFonts w:ascii="Times New Roman" w:hAnsi="Times New Roman" w:cs="Times New Roman"/>
          <w:sz w:val="24"/>
          <w:szCs w:val="24"/>
        </w:rPr>
        <w:t>describe</w:t>
      </w:r>
      <w:r w:rsidR="000132D4" w:rsidRPr="03A538BF">
        <w:rPr>
          <w:rFonts w:ascii="Times New Roman" w:hAnsi="Times New Roman" w:cs="Times New Roman"/>
          <w:sz w:val="24"/>
          <w:szCs w:val="24"/>
        </w:rPr>
        <w:t xml:space="preserve"> </w:t>
      </w:r>
      <w:r w:rsidR="0081513E">
        <w:rPr>
          <w:rFonts w:ascii="Times New Roman" w:hAnsi="Times New Roman" w:cs="Times New Roman"/>
          <w:sz w:val="24"/>
          <w:szCs w:val="24"/>
        </w:rPr>
        <w:t>a</w:t>
      </w:r>
      <w:r w:rsidR="000132D4" w:rsidRPr="03A538BF">
        <w:rPr>
          <w:rFonts w:ascii="Times New Roman" w:hAnsi="Times New Roman" w:cs="Times New Roman"/>
          <w:sz w:val="24"/>
          <w:szCs w:val="24"/>
        </w:rPr>
        <w:t xml:space="preserve"> methodology</w:t>
      </w:r>
      <w:r w:rsidR="00F511C0">
        <w:rPr>
          <w:rFonts w:ascii="Times New Roman" w:hAnsi="Times New Roman" w:cs="Times New Roman"/>
          <w:sz w:val="24"/>
          <w:szCs w:val="24"/>
        </w:rPr>
        <w:t>,</w:t>
      </w:r>
      <w:r w:rsidR="000132D4" w:rsidRPr="03A538BF">
        <w:rPr>
          <w:rFonts w:ascii="Times New Roman" w:hAnsi="Times New Roman" w:cs="Times New Roman"/>
          <w:sz w:val="24"/>
          <w:szCs w:val="24"/>
        </w:rPr>
        <w:t xml:space="preserve"> </w:t>
      </w:r>
      <w:r w:rsidR="00F511C0">
        <w:rPr>
          <w:rFonts w:ascii="Times New Roman" w:hAnsi="Times New Roman" w:cs="Times New Roman"/>
          <w:sz w:val="24"/>
          <w:szCs w:val="24"/>
        </w:rPr>
        <w:t>based on a Monte-Carlo</w:t>
      </w:r>
      <w:r w:rsidR="009A1FE8">
        <w:rPr>
          <w:rFonts w:ascii="Times New Roman" w:hAnsi="Times New Roman" w:cs="Times New Roman"/>
          <w:sz w:val="24"/>
          <w:szCs w:val="24"/>
        </w:rPr>
        <w:t xml:space="preserve"> (MC)</w:t>
      </w:r>
      <w:r w:rsidR="00F511C0">
        <w:rPr>
          <w:rFonts w:ascii="Times New Roman" w:hAnsi="Times New Roman" w:cs="Times New Roman"/>
          <w:sz w:val="24"/>
          <w:szCs w:val="24"/>
        </w:rPr>
        <w:t xml:space="preserve"> Simulation </w:t>
      </w:r>
      <w:r w:rsidR="009A1FE8">
        <w:rPr>
          <w:rFonts w:ascii="Times New Roman" w:hAnsi="Times New Roman" w:cs="Times New Roman"/>
          <w:sz w:val="24"/>
          <w:szCs w:val="24"/>
        </w:rPr>
        <w:t>built in</w:t>
      </w:r>
      <w:r w:rsidR="00F511C0">
        <w:rPr>
          <w:rFonts w:ascii="Times New Roman" w:hAnsi="Times New Roman" w:cs="Times New Roman"/>
          <w:sz w:val="24"/>
          <w:szCs w:val="24"/>
        </w:rPr>
        <w:t xml:space="preserve"> python, to model </w:t>
      </w:r>
      <w:r w:rsidR="009A1FE8">
        <w:rPr>
          <w:rFonts w:ascii="Times New Roman" w:hAnsi="Times New Roman" w:cs="Times New Roman"/>
          <w:sz w:val="24"/>
          <w:szCs w:val="24"/>
        </w:rPr>
        <w:t xml:space="preserve">the </w:t>
      </w:r>
      <w:r w:rsidR="00F511C0">
        <w:rPr>
          <w:rFonts w:ascii="Times New Roman" w:hAnsi="Times New Roman" w:cs="Times New Roman"/>
          <w:sz w:val="24"/>
          <w:szCs w:val="24"/>
        </w:rPr>
        <w:t xml:space="preserve">potential emission forecasts for a hypothetical offshore oil field development. </w:t>
      </w:r>
      <w:r w:rsidR="009A1FE8">
        <w:rPr>
          <w:rFonts w:ascii="Times New Roman" w:hAnsi="Times New Roman" w:cs="Times New Roman"/>
          <w:sz w:val="24"/>
          <w:szCs w:val="24"/>
        </w:rPr>
        <w:t>T</w:t>
      </w:r>
      <w:r w:rsidR="00F511C0">
        <w:rPr>
          <w:rFonts w:ascii="Times New Roman" w:hAnsi="Times New Roman" w:cs="Times New Roman"/>
          <w:sz w:val="24"/>
          <w:szCs w:val="24"/>
        </w:rPr>
        <w:t>he model will present a</w:t>
      </w:r>
      <w:r w:rsidR="009A1FE8">
        <w:rPr>
          <w:rFonts w:ascii="Times New Roman" w:hAnsi="Times New Roman" w:cs="Times New Roman"/>
          <w:sz w:val="24"/>
          <w:szCs w:val="24"/>
        </w:rPr>
        <w:t>n</w:t>
      </w:r>
      <w:r w:rsidR="00F511C0">
        <w:rPr>
          <w:rFonts w:ascii="Times New Roman" w:hAnsi="Times New Roman" w:cs="Times New Roman"/>
          <w:sz w:val="24"/>
          <w:szCs w:val="24"/>
        </w:rPr>
        <w:t xml:space="preserve"> annual emission </w:t>
      </w:r>
      <w:r w:rsidR="00C62ADD" w:rsidRPr="03A538BF">
        <w:rPr>
          <w:rFonts w:ascii="Times New Roman" w:hAnsi="Times New Roman" w:cs="Times New Roman"/>
          <w:sz w:val="24"/>
          <w:szCs w:val="24"/>
        </w:rPr>
        <w:t>forecast</w:t>
      </w:r>
      <w:r w:rsidR="004547E8" w:rsidRPr="03A538BF">
        <w:rPr>
          <w:rFonts w:ascii="Times New Roman" w:hAnsi="Times New Roman" w:cs="Times New Roman"/>
          <w:sz w:val="24"/>
          <w:szCs w:val="24"/>
        </w:rPr>
        <w:t xml:space="preserve"> </w:t>
      </w:r>
      <w:r w:rsidR="00C62ADD" w:rsidRPr="03A538BF">
        <w:rPr>
          <w:rFonts w:ascii="Times New Roman" w:hAnsi="Times New Roman" w:cs="Times New Roman"/>
          <w:sz w:val="24"/>
          <w:szCs w:val="24"/>
        </w:rPr>
        <w:t>over the project lifetime</w:t>
      </w:r>
      <w:r w:rsidR="009A1FE8">
        <w:rPr>
          <w:rFonts w:ascii="Times New Roman" w:hAnsi="Times New Roman" w:cs="Times New Roman"/>
          <w:sz w:val="24"/>
          <w:szCs w:val="24"/>
        </w:rPr>
        <w:t xml:space="preserve"> and also evaluate</w:t>
      </w:r>
      <w:r w:rsidR="00C60D2A" w:rsidRPr="03A538BF">
        <w:rPr>
          <w:rFonts w:ascii="Times New Roman" w:hAnsi="Times New Roman" w:cs="Times New Roman"/>
          <w:sz w:val="24"/>
          <w:szCs w:val="24"/>
        </w:rPr>
        <w:t xml:space="preserve"> </w:t>
      </w:r>
      <w:r w:rsidR="009A1FE8">
        <w:rPr>
          <w:rFonts w:ascii="Times New Roman" w:hAnsi="Times New Roman" w:cs="Times New Roman"/>
          <w:sz w:val="24"/>
          <w:szCs w:val="24"/>
        </w:rPr>
        <w:t xml:space="preserve">its </w:t>
      </w:r>
      <w:r w:rsidR="00C60D2A" w:rsidRPr="03A538BF">
        <w:rPr>
          <w:rFonts w:ascii="Times New Roman" w:hAnsi="Times New Roman" w:cs="Times New Roman"/>
          <w:sz w:val="24"/>
          <w:szCs w:val="24"/>
        </w:rPr>
        <w:t xml:space="preserve">associated carbon cost. </w:t>
      </w:r>
      <w:r w:rsidR="009A1FE8">
        <w:rPr>
          <w:rFonts w:ascii="Times New Roman" w:hAnsi="Times New Roman" w:cs="Times New Roman"/>
          <w:sz w:val="24"/>
          <w:szCs w:val="24"/>
        </w:rPr>
        <w:t>A</w:t>
      </w:r>
      <w:r w:rsidR="00C60D2A" w:rsidRPr="03A538BF">
        <w:rPr>
          <w:rFonts w:ascii="Times New Roman" w:hAnsi="Times New Roman" w:cs="Times New Roman"/>
          <w:sz w:val="24"/>
          <w:szCs w:val="24"/>
        </w:rPr>
        <w:t xml:space="preserve"> probabilistic method </w:t>
      </w:r>
      <w:r w:rsidR="009A1FE8">
        <w:rPr>
          <w:rFonts w:ascii="Times New Roman" w:hAnsi="Times New Roman" w:cs="Times New Roman"/>
          <w:sz w:val="24"/>
          <w:szCs w:val="24"/>
        </w:rPr>
        <w:t>like MC</w:t>
      </w:r>
      <w:r w:rsidR="00C60D2A" w:rsidRPr="03A538BF">
        <w:rPr>
          <w:rFonts w:ascii="Times New Roman" w:hAnsi="Times New Roman" w:cs="Times New Roman"/>
          <w:sz w:val="24"/>
          <w:szCs w:val="24"/>
        </w:rPr>
        <w:t xml:space="preserve"> accounts for production and development uncertainties, while adhering to</w:t>
      </w:r>
      <w:r w:rsidR="002A724D" w:rsidRPr="03A538BF">
        <w:rPr>
          <w:rFonts w:ascii="Times New Roman" w:hAnsi="Times New Roman" w:cs="Times New Roman"/>
          <w:sz w:val="24"/>
          <w:szCs w:val="24"/>
        </w:rPr>
        <w:t xml:space="preserve"> ISO 14064 and IPIECA’s guidelines on evaluating Scope 1, 2 and 3 emissions for oil and gas developments</w:t>
      </w:r>
      <w:r w:rsidR="00C60D2A" w:rsidRPr="03A538B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E7C1611" w14:textId="01A21085" w:rsidR="002A724D" w:rsidRPr="00B86A3B" w:rsidRDefault="009A1FE8" w:rsidP="00C60D2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simulator would allow operators to</w:t>
      </w:r>
      <w:r w:rsidR="00C60D2A">
        <w:rPr>
          <w:rFonts w:ascii="Times New Roman" w:hAnsi="Times New Roman" w:cs="Times New Roman"/>
          <w:sz w:val="24"/>
          <w:szCs w:val="24"/>
        </w:rPr>
        <w:t xml:space="preserve"> </w:t>
      </w:r>
      <w:r w:rsidR="00C60D2A" w:rsidRPr="00C60D2A">
        <w:rPr>
          <w:rFonts w:ascii="Times New Roman" w:hAnsi="Times New Roman" w:cs="Times New Roman"/>
          <w:sz w:val="24"/>
          <w:szCs w:val="24"/>
        </w:rPr>
        <w:t>identif</w:t>
      </w:r>
      <w:r w:rsidR="00C60D2A">
        <w:rPr>
          <w:rFonts w:ascii="Times New Roman" w:hAnsi="Times New Roman" w:cs="Times New Roman"/>
          <w:sz w:val="24"/>
          <w:szCs w:val="24"/>
        </w:rPr>
        <w:t>y</w:t>
      </w:r>
      <w:r w:rsidR="00C60D2A" w:rsidRPr="00C60D2A">
        <w:rPr>
          <w:rFonts w:ascii="Times New Roman" w:hAnsi="Times New Roman" w:cs="Times New Roman"/>
          <w:sz w:val="24"/>
          <w:szCs w:val="24"/>
        </w:rPr>
        <w:t xml:space="preserve"> and </w:t>
      </w:r>
      <w:r w:rsidR="002240DC">
        <w:rPr>
          <w:rFonts w:ascii="Times New Roman" w:hAnsi="Times New Roman" w:cs="Times New Roman"/>
          <w:sz w:val="24"/>
          <w:szCs w:val="24"/>
        </w:rPr>
        <w:t>hence</w:t>
      </w:r>
      <w:r w:rsidR="00C60D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plan</w:t>
      </w:r>
      <w:r w:rsidR="00C60D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for</w:t>
      </w:r>
      <w:r w:rsidR="00C60D2A">
        <w:rPr>
          <w:rFonts w:ascii="Times New Roman" w:hAnsi="Times New Roman" w:cs="Times New Roman"/>
          <w:sz w:val="24"/>
          <w:szCs w:val="24"/>
        </w:rPr>
        <w:t xml:space="preserve"> </w:t>
      </w:r>
      <w:r w:rsidR="00C60D2A" w:rsidRPr="00C60D2A">
        <w:rPr>
          <w:rFonts w:ascii="Times New Roman" w:hAnsi="Times New Roman" w:cs="Times New Roman"/>
          <w:sz w:val="24"/>
          <w:szCs w:val="24"/>
        </w:rPr>
        <w:t>mitigation of carbon sources</w:t>
      </w:r>
      <w:r w:rsidR="002240DC">
        <w:rPr>
          <w:rFonts w:ascii="Times New Roman" w:hAnsi="Times New Roman" w:cs="Times New Roman"/>
          <w:sz w:val="24"/>
          <w:szCs w:val="24"/>
        </w:rPr>
        <w:t xml:space="preserve"> at an </w:t>
      </w:r>
      <w:r w:rsidR="002240DC" w:rsidRPr="00C60D2A">
        <w:rPr>
          <w:rFonts w:ascii="Times New Roman" w:hAnsi="Times New Roman" w:cs="Times New Roman"/>
          <w:sz w:val="24"/>
          <w:szCs w:val="24"/>
        </w:rPr>
        <w:t xml:space="preserve">early </w:t>
      </w:r>
      <w:r w:rsidR="002240DC">
        <w:rPr>
          <w:rFonts w:ascii="Times New Roman" w:hAnsi="Times New Roman" w:cs="Times New Roman"/>
          <w:sz w:val="24"/>
          <w:szCs w:val="24"/>
        </w:rPr>
        <w:t>stage</w:t>
      </w:r>
      <w:r>
        <w:rPr>
          <w:rFonts w:ascii="Times New Roman" w:hAnsi="Times New Roman" w:cs="Times New Roman"/>
          <w:sz w:val="24"/>
          <w:szCs w:val="24"/>
        </w:rPr>
        <w:t>. It would also allow</w:t>
      </w:r>
      <w:r w:rsidR="00C60D2A">
        <w:rPr>
          <w:rFonts w:ascii="Times New Roman" w:hAnsi="Times New Roman" w:cs="Times New Roman"/>
          <w:sz w:val="24"/>
          <w:szCs w:val="24"/>
        </w:rPr>
        <w:t xml:space="preserve"> operator</w:t>
      </w:r>
      <w:r>
        <w:rPr>
          <w:rFonts w:ascii="Times New Roman" w:hAnsi="Times New Roman" w:cs="Times New Roman"/>
          <w:sz w:val="24"/>
          <w:szCs w:val="24"/>
        </w:rPr>
        <w:t>s</w:t>
      </w:r>
      <w:r w:rsidR="00C60D2A">
        <w:rPr>
          <w:rFonts w:ascii="Times New Roman" w:hAnsi="Times New Roman" w:cs="Times New Roman"/>
          <w:sz w:val="24"/>
          <w:szCs w:val="24"/>
        </w:rPr>
        <w:t xml:space="preserve"> to </w:t>
      </w:r>
      <w:r>
        <w:rPr>
          <w:rFonts w:ascii="Times New Roman" w:hAnsi="Times New Roman" w:cs="Times New Roman"/>
          <w:sz w:val="24"/>
          <w:szCs w:val="24"/>
        </w:rPr>
        <w:t>forecast the</w:t>
      </w:r>
      <w:r w:rsidR="00C60D2A" w:rsidRPr="00C60D2A">
        <w:rPr>
          <w:rFonts w:ascii="Times New Roman" w:hAnsi="Times New Roman" w:cs="Times New Roman"/>
          <w:sz w:val="24"/>
          <w:szCs w:val="24"/>
        </w:rPr>
        <w:t xml:space="preserve"> project’s lifetime carbon </w:t>
      </w:r>
      <w:r w:rsidR="00984EF5" w:rsidRPr="00C60D2A">
        <w:rPr>
          <w:rFonts w:ascii="Times New Roman" w:hAnsi="Times New Roman" w:cs="Times New Roman"/>
          <w:sz w:val="24"/>
          <w:szCs w:val="24"/>
        </w:rPr>
        <w:t>emissions</w:t>
      </w:r>
      <w:r w:rsidR="00984EF5">
        <w:rPr>
          <w:rFonts w:ascii="Times New Roman" w:hAnsi="Times New Roman" w:cs="Times New Roman"/>
          <w:sz w:val="24"/>
          <w:szCs w:val="24"/>
        </w:rPr>
        <w:t xml:space="preserve"> and</w:t>
      </w:r>
      <w:r w:rsidR="00C60D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economic viability. Finally, by comparing the simulation with </w:t>
      </w:r>
      <w:r>
        <w:rPr>
          <w:rFonts w:ascii="Times New Roman" w:hAnsi="Times New Roman" w:cs="Times New Roman"/>
          <w:sz w:val="24"/>
          <w:szCs w:val="24"/>
        </w:rPr>
        <w:t>emissions “post-production”</w:t>
      </w:r>
      <w:r>
        <w:rPr>
          <w:rFonts w:ascii="Times New Roman" w:hAnsi="Times New Roman" w:cs="Times New Roman"/>
          <w:sz w:val="24"/>
          <w:szCs w:val="24"/>
        </w:rPr>
        <w:t xml:space="preserve">, operators can also determine if their mitigative process are indeed bearing fruit or if more needs to be done to correct for GHG production. </w:t>
      </w:r>
    </w:p>
    <w:p w14:paraId="4BCD1E86" w14:textId="77777777" w:rsidR="009B491C" w:rsidRPr="00B86A3B" w:rsidRDefault="009B491C" w:rsidP="00B86A3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2386167" w14:textId="02743EE4" w:rsidR="00947748" w:rsidRDefault="00947748" w:rsidP="006761EA">
      <w:pPr>
        <w:jc w:val="both"/>
        <w:rPr>
          <w:rFonts w:ascii="Times New Roman" w:hAnsi="Times New Roman" w:cs="Times New Roman"/>
          <w:sz w:val="24"/>
          <w:szCs w:val="24"/>
        </w:rPr>
      </w:pPr>
      <w:r w:rsidRPr="00B86A3B">
        <w:rPr>
          <w:rFonts w:ascii="Times New Roman" w:hAnsi="Times New Roman" w:cs="Times New Roman"/>
          <w:sz w:val="24"/>
          <w:szCs w:val="24"/>
        </w:rPr>
        <w:t xml:space="preserve">Word count: </w:t>
      </w:r>
      <w:r w:rsidR="009A1FE8">
        <w:rPr>
          <w:rFonts w:ascii="Times New Roman" w:hAnsi="Times New Roman" w:cs="Times New Roman"/>
          <w:sz w:val="24"/>
          <w:szCs w:val="24"/>
        </w:rPr>
        <w:t>287 words</w:t>
      </w:r>
    </w:p>
    <w:p w14:paraId="409D546B" w14:textId="77777777" w:rsidR="009A1FE8" w:rsidRPr="00B86A3B" w:rsidRDefault="009A1FE8" w:rsidP="006761EA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9A1FE8" w:rsidRPr="00B86A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30A"/>
    <w:rsid w:val="000132D4"/>
    <w:rsid w:val="000220E9"/>
    <w:rsid w:val="000362A6"/>
    <w:rsid w:val="0005661A"/>
    <w:rsid w:val="00076F5D"/>
    <w:rsid w:val="000B6135"/>
    <w:rsid w:val="000C7438"/>
    <w:rsid w:val="001434E7"/>
    <w:rsid w:val="00166F02"/>
    <w:rsid w:val="001739FE"/>
    <w:rsid w:val="002240DC"/>
    <w:rsid w:val="002A724D"/>
    <w:rsid w:val="002C3920"/>
    <w:rsid w:val="002C48B8"/>
    <w:rsid w:val="003D051E"/>
    <w:rsid w:val="004547E8"/>
    <w:rsid w:val="00461DBF"/>
    <w:rsid w:val="004C34F9"/>
    <w:rsid w:val="004F10B2"/>
    <w:rsid w:val="004F1835"/>
    <w:rsid w:val="005041B0"/>
    <w:rsid w:val="00563BF8"/>
    <w:rsid w:val="0057088F"/>
    <w:rsid w:val="0058741A"/>
    <w:rsid w:val="00593432"/>
    <w:rsid w:val="005C3E7A"/>
    <w:rsid w:val="006579F0"/>
    <w:rsid w:val="006761EA"/>
    <w:rsid w:val="006960CC"/>
    <w:rsid w:val="0072591F"/>
    <w:rsid w:val="00755B1E"/>
    <w:rsid w:val="0081513E"/>
    <w:rsid w:val="008B0D36"/>
    <w:rsid w:val="008B2FD2"/>
    <w:rsid w:val="008C5976"/>
    <w:rsid w:val="00914FDB"/>
    <w:rsid w:val="00917A7D"/>
    <w:rsid w:val="00947748"/>
    <w:rsid w:val="00975FCB"/>
    <w:rsid w:val="00984EF5"/>
    <w:rsid w:val="009A1FE8"/>
    <w:rsid w:val="009B491C"/>
    <w:rsid w:val="009B786B"/>
    <w:rsid w:val="009D4954"/>
    <w:rsid w:val="00A21E4C"/>
    <w:rsid w:val="00A53805"/>
    <w:rsid w:val="00A8247E"/>
    <w:rsid w:val="00B06980"/>
    <w:rsid w:val="00B15ABE"/>
    <w:rsid w:val="00B65CED"/>
    <w:rsid w:val="00B86A3B"/>
    <w:rsid w:val="00BB3A3C"/>
    <w:rsid w:val="00BC7293"/>
    <w:rsid w:val="00C60D2A"/>
    <w:rsid w:val="00C62ADD"/>
    <w:rsid w:val="00C64698"/>
    <w:rsid w:val="00C821D2"/>
    <w:rsid w:val="00CC1F8A"/>
    <w:rsid w:val="00D33A99"/>
    <w:rsid w:val="00DB4DA4"/>
    <w:rsid w:val="00DD5444"/>
    <w:rsid w:val="00E31AB1"/>
    <w:rsid w:val="00E65A5A"/>
    <w:rsid w:val="00E916C8"/>
    <w:rsid w:val="00EB230A"/>
    <w:rsid w:val="00ED32A0"/>
    <w:rsid w:val="00ED5342"/>
    <w:rsid w:val="00EE1D66"/>
    <w:rsid w:val="00EE73BE"/>
    <w:rsid w:val="00EF58B1"/>
    <w:rsid w:val="00F011D8"/>
    <w:rsid w:val="00F10237"/>
    <w:rsid w:val="00F12EDE"/>
    <w:rsid w:val="00F511C0"/>
    <w:rsid w:val="00F538FE"/>
    <w:rsid w:val="00F735B6"/>
    <w:rsid w:val="00F848F3"/>
    <w:rsid w:val="03A538BF"/>
    <w:rsid w:val="0BA28DA5"/>
    <w:rsid w:val="0D1DBCBD"/>
    <w:rsid w:val="14C21E2D"/>
    <w:rsid w:val="17FFD06E"/>
    <w:rsid w:val="199598E6"/>
    <w:rsid w:val="2023D95B"/>
    <w:rsid w:val="27B55D63"/>
    <w:rsid w:val="31B07931"/>
    <w:rsid w:val="36930099"/>
    <w:rsid w:val="3E75D3DC"/>
    <w:rsid w:val="40FDC3D2"/>
    <w:rsid w:val="45508DA4"/>
    <w:rsid w:val="51C4B1D3"/>
    <w:rsid w:val="52D709DF"/>
    <w:rsid w:val="5C8069E5"/>
    <w:rsid w:val="671C3F60"/>
    <w:rsid w:val="69737313"/>
    <w:rsid w:val="73D35C69"/>
    <w:rsid w:val="7AE9F60C"/>
    <w:rsid w:val="7DAFA660"/>
    <w:rsid w:val="7DB22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23B37"/>
  <w15:chartTrackingRefBased/>
  <w15:docId w15:val="{0B2E12C8-BCE6-4BD3-82B0-1786A6623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86A3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86A3B"/>
    <w:pPr>
      <w:spacing w:line="240" w:lineRule="auto"/>
    </w:pPr>
    <w:rPr>
      <w:rFonts w:eastAsiaTheme="minorHAnsi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86A3B"/>
    <w:rPr>
      <w:rFonts w:eastAsiaTheme="minorHAnsi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86A3B"/>
    <w:rPr>
      <w:rFonts w:eastAsiaTheme="minorEastAsia"/>
      <w:b/>
      <w:bCs/>
      <w:lang w:eastAsia="zh-CN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86A3B"/>
    <w:rPr>
      <w:rFonts w:eastAsiaTheme="minorHAnsi"/>
      <w:b/>
      <w:bCs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1791AE94EE214BACA3A0F8C4981E16" ma:contentTypeVersion="9" ma:contentTypeDescription="Create a new document." ma:contentTypeScope="" ma:versionID="6c78a417d32c722d3d41b63a729e3af1">
  <xsd:schema xmlns:xsd="http://www.w3.org/2001/XMLSchema" xmlns:xs="http://www.w3.org/2001/XMLSchema" xmlns:p="http://schemas.microsoft.com/office/2006/metadata/properties" xmlns:ns2="8723885a-0216-478c-bf63-e851aac22d94" targetNamespace="http://schemas.microsoft.com/office/2006/metadata/properties" ma:root="true" ma:fieldsID="37bb887ca83cdb913b6c4b85ac48417c" ns2:_="">
    <xsd:import namespace="8723885a-0216-478c-bf63-e851aac22d9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23885a-0216-478c-bf63-e851aac22d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617BD33-D9BD-4595-A3C8-C8529CA2FD8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3D07562-2832-45E9-AD33-F8F4CE20734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C524DD5-635C-4776-84AF-48DDF636D9A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613D5C2-797F-48B1-873F-BBCA7378C6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23885a-0216-478c-bf63-e851aac22d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Emelyn Ang</dc:creator>
  <cp:keywords/>
  <dc:description/>
  <cp:lastModifiedBy>Munish Kumar</cp:lastModifiedBy>
  <cp:revision>23</cp:revision>
  <dcterms:created xsi:type="dcterms:W3CDTF">2021-08-26T06:32:00Z</dcterms:created>
  <dcterms:modified xsi:type="dcterms:W3CDTF">2022-03-25T03:20:00Z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0x010100481791AE94EE214BACA3A0F8C4981E16</vt:lpwstr>
  </property>
</Properties>
</file>