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3C0E" w14:textId="77777777" w:rsidR="00672902" w:rsidRDefault="00341B8E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387CC0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387CC0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387CC0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7B282E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7B282E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7B282E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"cid:image001.png@01D2DBA4.C71DBCA0" \* MERGEFORMATINET</w:instrText>
      </w:r>
      <w:r w:rsidR="007B282E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7B282E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7B282E">
        <w:rPr>
          <w:rFonts w:ascii="Verdana" w:hAnsi="Verdana"/>
          <w:noProof/>
          <w:color w:val="333333"/>
          <w:sz w:val="12"/>
          <w:szCs w:val="12"/>
          <w:lang w:val="en-SG"/>
        </w:rPr>
        <w:pict w14:anchorId="63608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65pt;height:85.65pt;visibility:visible">
            <v:imagedata r:id="rId8" r:href="rId9"/>
          </v:shape>
        </w:pict>
      </w:r>
      <w:r w:rsidR="007B282E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387CC0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17CCA4DA" w14:textId="77777777" w:rsidR="00672902" w:rsidRDefault="00672902" w:rsidP="00672902">
      <w:pPr>
        <w:jc w:val="center"/>
        <w:rPr>
          <w:rFonts w:ascii="Arial Black" w:hAnsi="Arial Black"/>
          <w:sz w:val="28"/>
          <w:szCs w:val="28"/>
        </w:rPr>
      </w:pPr>
    </w:p>
    <w:p w14:paraId="20DD08C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5AA67C01" w14:textId="77777777" w:rsidR="00672902" w:rsidRDefault="00672902" w:rsidP="00672902"/>
    <w:p w14:paraId="3FF017AB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78C8C4C6" w14:textId="77777777"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5131F15C" w14:textId="77777777" w:rsidTr="00C470A8">
        <w:tc>
          <w:tcPr>
            <w:tcW w:w="2268" w:type="dxa"/>
          </w:tcPr>
          <w:p w14:paraId="4931CEF9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6DE07CB" w14:textId="370CC5CB" w:rsidR="00672902" w:rsidRDefault="00D27D10" w:rsidP="001A3F02">
            <w:r w:rsidRPr="00D27D10">
              <w:t>MARSYA SORFINA BINTE MOHAMMAD</w:t>
            </w:r>
          </w:p>
        </w:tc>
        <w:tc>
          <w:tcPr>
            <w:tcW w:w="750" w:type="dxa"/>
            <w:gridSpan w:val="2"/>
          </w:tcPr>
          <w:p w14:paraId="5EDDA859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7890419C" w14:textId="29C447B2" w:rsidR="00672902" w:rsidRDefault="00D27D10" w:rsidP="001A3F02">
            <w:r>
              <w:t>Jul 2021</w:t>
            </w:r>
          </w:p>
        </w:tc>
      </w:tr>
      <w:tr w:rsidR="00672902" w14:paraId="729ED800" w14:textId="77777777" w:rsidTr="00C470A8">
        <w:tc>
          <w:tcPr>
            <w:tcW w:w="2268" w:type="dxa"/>
          </w:tcPr>
          <w:p w14:paraId="040541A6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58B42E02" w14:textId="77777777" w:rsidR="00672902" w:rsidRDefault="00672902" w:rsidP="001A3F02"/>
        </w:tc>
        <w:tc>
          <w:tcPr>
            <w:tcW w:w="540" w:type="dxa"/>
          </w:tcPr>
          <w:p w14:paraId="1355DF1E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05D33F3" w14:textId="77777777" w:rsidR="00672902" w:rsidRDefault="00672902" w:rsidP="001A3F02"/>
        </w:tc>
      </w:tr>
      <w:tr w:rsidR="00672902" w14:paraId="6F399C17" w14:textId="77777777" w:rsidTr="00C470A8">
        <w:tc>
          <w:tcPr>
            <w:tcW w:w="2268" w:type="dxa"/>
          </w:tcPr>
          <w:p w14:paraId="52D17953" w14:textId="77777777"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492852C6" w14:textId="0347BE07" w:rsidR="00672902" w:rsidRPr="002A76FB" w:rsidRDefault="00D27D10" w:rsidP="001A3F02">
            <w:r>
              <w:t>Munish Kumar</w:t>
            </w:r>
          </w:p>
        </w:tc>
        <w:tc>
          <w:tcPr>
            <w:tcW w:w="540" w:type="dxa"/>
          </w:tcPr>
          <w:p w14:paraId="2AFC45CE" w14:textId="77777777" w:rsidR="00672902" w:rsidRPr="002A76FB" w:rsidRDefault="00672902" w:rsidP="001A3F02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2B0EBB71" w14:textId="77777777" w:rsidR="00672902" w:rsidRPr="002A76FB" w:rsidRDefault="00672902" w:rsidP="001A3F02"/>
        </w:tc>
      </w:tr>
      <w:tr w:rsidR="00672902" w14:paraId="4EE19B93" w14:textId="77777777" w:rsidTr="00C470A8">
        <w:tc>
          <w:tcPr>
            <w:tcW w:w="2268" w:type="dxa"/>
          </w:tcPr>
          <w:p w14:paraId="1026077C" w14:textId="7251CD36" w:rsidR="00672902" w:rsidRDefault="00672902" w:rsidP="001A3F02">
            <w:r>
              <w:t>(2</w:t>
            </w:r>
            <w:r w:rsidRPr="00C470A8">
              <w:rPr>
                <w:vertAlign w:val="superscript"/>
              </w:rPr>
              <w:t>nd</w:t>
            </w:r>
            <w:r>
              <w:t xml:space="preserve"> Marker)</w:t>
            </w:r>
          </w:p>
          <w:p w14:paraId="1DF9CD88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134E97B3" w14:textId="77777777" w:rsidR="00672902" w:rsidRDefault="00672902" w:rsidP="001A3F02"/>
        </w:tc>
        <w:tc>
          <w:tcPr>
            <w:tcW w:w="540" w:type="dxa"/>
          </w:tcPr>
          <w:p w14:paraId="491E77D5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30E7FCFF" w14:textId="77777777" w:rsidR="00672902" w:rsidRDefault="00672902" w:rsidP="001A3F02"/>
        </w:tc>
      </w:tr>
      <w:tr w:rsidR="00672902" w14:paraId="2BCED78D" w14:textId="77777777" w:rsidTr="00C470A8">
        <w:tc>
          <w:tcPr>
            <w:tcW w:w="2268" w:type="dxa"/>
          </w:tcPr>
          <w:p w14:paraId="401A478B" w14:textId="77777777"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4B3783F9" w14:textId="08221C5D" w:rsidR="00672902" w:rsidRDefault="00D27D10" w:rsidP="001A3F02">
            <w:r w:rsidRPr="00D27D10">
              <w:t>IMPACT OF COVID-19 ON CONSUMER BEHAVIOUR BASED ON ONLINE SHOPPING</w:t>
            </w:r>
          </w:p>
        </w:tc>
      </w:tr>
    </w:tbl>
    <w:p w14:paraId="39300BDF" w14:textId="77777777" w:rsidR="00E3291C" w:rsidRDefault="00E3291C" w:rsidP="00E3291C"/>
    <w:p w14:paraId="03444714" w14:textId="77777777" w:rsidR="00373313" w:rsidRPr="00E3291C" w:rsidRDefault="00373313" w:rsidP="00E329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11334D5F" w14:textId="77777777" w:rsidTr="001B5260">
        <w:tc>
          <w:tcPr>
            <w:tcW w:w="430" w:type="dxa"/>
          </w:tcPr>
          <w:p w14:paraId="6D676E4E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33FF8E5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E046EA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3B15EEB6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53738146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284BA6BB" w14:textId="77777777" w:rsidTr="001B5260">
        <w:tc>
          <w:tcPr>
            <w:tcW w:w="430" w:type="dxa"/>
          </w:tcPr>
          <w:p w14:paraId="782C0169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4B3F196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4EBF1CE0" w14:textId="77777777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 xml:space="preserve">Project Report </w:t>
            </w:r>
            <w:proofErr w:type="gramStart"/>
            <w:r w:rsidRPr="00373313">
              <w:rPr>
                <w:b/>
                <w:sz w:val="20"/>
                <w:szCs w:val="20"/>
              </w:rPr>
              <w:t>Components</w:t>
            </w:r>
            <w:r w:rsidRPr="00373313">
              <w:rPr>
                <w:sz w:val="20"/>
                <w:szCs w:val="20"/>
              </w:rPr>
              <w:t>(</w:t>
            </w:r>
            <w:proofErr w:type="gramEnd"/>
            <w:r w:rsidRPr="00373313">
              <w:rPr>
                <w:sz w:val="20"/>
                <w:szCs w:val="20"/>
              </w:rPr>
              <w:t xml:space="preserve">worth 60% of total marks for ANL488) </w:t>
            </w:r>
          </w:p>
        </w:tc>
        <w:tc>
          <w:tcPr>
            <w:tcW w:w="1348" w:type="dxa"/>
          </w:tcPr>
          <w:p w14:paraId="14C392A5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2DDD928B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1CE6C846" w14:textId="77777777" w:rsidTr="001B5260">
        <w:tc>
          <w:tcPr>
            <w:tcW w:w="430" w:type="dxa"/>
          </w:tcPr>
          <w:p w14:paraId="79480B4D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5BE69217" w14:textId="77777777" w:rsidR="00CE0FF3" w:rsidRPr="0037331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373313">
              <w:rPr>
                <w:sz w:val="20"/>
                <w:szCs w:val="20"/>
              </w:rPr>
              <w:t>evaluation</w:t>
            </w:r>
            <w:proofErr w:type="gramEnd"/>
            <w:r w:rsidRPr="00373313">
              <w:rPr>
                <w:sz w:val="20"/>
                <w:szCs w:val="20"/>
              </w:rPr>
              <w:t xml:space="preserve"> and deployment.</w:t>
            </w:r>
          </w:p>
        </w:tc>
        <w:tc>
          <w:tcPr>
            <w:tcW w:w="3240" w:type="dxa"/>
            <w:vMerge w:val="restart"/>
          </w:tcPr>
          <w:p w14:paraId="377F65C8" w14:textId="77777777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Adequately </w:t>
            </w:r>
            <w:proofErr w:type="gramStart"/>
            <w:r>
              <w:rPr>
                <w:sz w:val="20"/>
                <w:szCs w:val="20"/>
              </w:rPr>
              <w:t>Developed  Introduction</w:t>
            </w:r>
            <w:proofErr w:type="gramEnd"/>
            <w:r>
              <w:rPr>
                <w:sz w:val="20"/>
                <w:szCs w:val="20"/>
              </w:rPr>
              <w:t>, Literature Review</w:t>
            </w:r>
            <w:r w:rsidR="00A22A3A">
              <w:rPr>
                <w:sz w:val="20"/>
                <w:szCs w:val="20"/>
              </w:rPr>
              <w:t xml:space="preserve">, </w:t>
            </w:r>
            <w:r w:rsidRPr="00373313">
              <w:rPr>
                <w:sz w:val="20"/>
                <w:szCs w:val="20"/>
              </w:rPr>
              <w:t xml:space="preserve">Data Understanding and Preparation </w:t>
            </w:r>
            <w:r>
              <w:rPr>
                <w:sz w:val="20"/>
                <w:szCs w:val="20"/>
              </w:rPr>
              <w:t xml:space="preserve"> chapters</w:t>
            </w:r>
          </w:p>
          <w:p w14:paraId="2D7072F0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4DF62D64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783824C0" w14:textId="085DAC24" w:rsidR="00CE0FF3" w:rsidRPr="00373313" w:rsidRDefault="00335BBD" w:rsidP="00DF5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CE0FF3" w:rsidRPr="00373313">
              <w:rPr>
                <w:sz w:val="20"/>
                <w:szCs w:val="20"/>
              </w:rPr>
              <w:t>/25</w:t>
            </w:r>
          </w:p>
        </w:tc>
      </w:tr>
      <w:tr w:rsidR="00CE0FF3" w14:paraId="0C7DAF88" w14:textId="77777777" w:rsidTr="001B5260">
        <w:tc>
          <w:tcPr>
            <w:tcW w:w="430" w:type="dxa"/>
          </w:tcPr>
          <w:p w14:paraId="5C9DD5E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2E241321" w14:textId="77777777" w:rsidR="00CE0FF3" w:rsidRPr="0037331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3240" w:type="dxa"/>
            <w:vMerge/>
          </w:tcPr>
          <w:p w14:paraId="38FE9768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1A033006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07561559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7A873030" w14:textId="77777777" w:rsidTr="001A3F02">
        <w:trPr>
          <w:trHeight w:val="470"/>
        </w:trPr>
        <w:tc>
          <w:tcPr>
            <w:tcW w:w="430" w:type="dxa"/>
          </w:tcPr>
          <w:p w14:paraId="4CC3B0B9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0A5F8B84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373313">
              <w:rPr>
                <w:sz w:val="20"/>
                <w:szCs w:val="20"/>
              </w:rPr>
              <w:t>evaluation</w:t>
            </w:r>
            <w:proofErr w:type="gramEnd"/>
            <w:r w:rsidRPr="00373313">
              <w:rPr>
                <w:sz w:val="20"/>
                <w:szCs w:val="20"/>
              </w:rPr>
              <w:t xml:space="preserve"> and deployment.</w:t>
            </w:r>
          </w:p>
        </w:tc>
        <w:tc>
          <w:tcPr>
            <w:tcW w:w="3240" w:type="dxa"/>
          </w:tcPr>
          <w:p w14:paraId="0E78066C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Appropriate Modeling/Research Methodology</w:t>
            </w:r>
            <w:r>
              <w:rPr>
                <w:sz w:val="20"/>
                <w:szCs w:val="20"/>
              </w:rPr>
              <w:t xml:space="preserve"> and </w:t>
            </w:r>
            <w:r w:rsidRPr="00373313">
              <w:rPr>
                <w:sz w:val="20"/>
                <w:szCs w:val="20"/>
              </w:rPr>
              <w:t>Logical and Adequately Developed Results/Evaluation</w:t>
            </w:r>
          </w:p>
        </w:tc>
        <w:tc>
          <w:tcPr>
            <w:tcW w:w="1348" w:type="dxa"/>
          </w:tcPr>
          <w:p w14:paraId="2D9B0AF1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2FFF91C0" w14:textId="2D00C671" w:rsidR="00A22A3A" w:rsidRPr="00373313" w:rsidRDefault="00335BBD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 w:rsidRPr="00373313">
              <w:rPr>
                <w:sz w:val="20"/>
                <w:szCs w:val="20"/>
              </w:rPr>
              <w:t>/</w:t>
            </w:r>
            <w:r w:rsidR="00A22A3A">
              <w:rPr>
                <w:sz w:val="20"/>
                <w:szCs w:val="20"/>
              </w:rPr>
              <w:t>25</w:t>
            </w:r>
          </w:p>
        </w:tc>
      </w:tr>
      <w:tr w:rsidR="00A22A3A" w14:paraId="7E9F8FD1" w14:textId="77777777" w:rsidTr="001B5260">
        <w:tc>
          <w:tcPr>
            <w:tcW w:w="430" w:type="dxa"/>
            <w:vMerge w:val="restart"/>
          </w:tcPr>
          <w:p w14:paraId="2F509F8B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430565F2" w14:textId="77777777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</w:p>
        </w:tc>
        <w:tc>
          <w:tcPr>
            <w:tcW w:w="3240" w:type="dxa"/>
          </w:tcPr>
          <w:p w14:paraId="4124D592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Succint</w:t>
            </w:r>
            <w:proofErr w:type="spellEnd"/>
            <w:r>
              <w:rPr>
                <w:sz w:val="20"/>
                <w:szCs w:val="20"/>
              </w:rPr>
              <w:t xml:space="preserve"> Abstract and Overall Report Presentation</w:t>
            </w:r>
            <w:r w:rsidR="0037723E">
              <w:rPr>
                <w:sz w:val="20"/>
                <w:szCs w:val="20"/>
              </w:rPr>
              <w:t xml:space="preserve"> including Usage of Good Grammar </w:t>
            </w:r>
          </w:p>
        </w:tc>
        <w:tc>
          <w:tcPr>
            <w:tcW w:w="1348" w:type="dxa"/>
          </w:tcPr>
          <w:p w14:paraId="3D222804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2660375" w14:textId="0043D3FB" w:rsidR="00A22A3A" w:rsidRPr="00373313" w:rsidRDefault="00335BBD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37723E">
              <w:rPr>
                <w:sz w:val="20"/>
                <w:szCs w:val="20"/>
              </w:rPr>
              <w:t>/25</w:t>
            </w:r>
          </w:p>
        </w:tc>
      </w:tr>
      <w:tr w:rsidR="00A22A3A" w14:paraId="6CD512B1" w14:textId="77777777" w:rsidTr="001B5260">
        <w:tc>
          <w:tcPr>
            <w:tcW w:w="430" w:type="dxa"/>
            <w:vMerge/>
          </w:tcPr>
          <w:p w14:paraId="4A5D4FD8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78CCE250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71316E3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Logical and Adequately Discussion/Recommendation/Conclusion</w:t>
            </w:r>
          </w:p>
        </w:tc>
        <w:tc>
          <w:tcPr>
            <w:tcW w:w="1348" w:type="dxa"/>
          </w:tcPr>
          <w:p w14:paraId="6261FE2B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460B38D" w14:textId="75D820AE" w:rsidR="00A22A3A" w:rsidRPr="00373313" w:rsidRDefault="00335BBD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A22A3A"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C9BDE18" w14:textId="77777777" w:rsidTr="001B5260">
        <w:tc>
          <w:tcPr>
            <w:tcW w:w="430" w:type="dxa"/>
          </w:tcPr>
          <w:p w14:paraId="453B14C6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0698CF2B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2F5052EE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Adequate Progress from Proposal, Oral Presentation to Final Report</w:t>
            </w:r>
          </w:p>
        </w:tc>
        <w:tc>
          <w:tcPr>
            <w:tcW w:w="1348" w:type="dxa"/>
          </w:tcPr>
          <w:p w14:paraId="378A31AE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4BA0A30C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4C7EC2D1" w14:textId="77777777" w:rsidTr="001B5260">
        <w:tc>
          <w:tcPr>
            <w:tcW w:w="430" w:type="dxa"/>
          </w:tcPr>
          <w:p w14:paraId="32A43D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1DDD7C1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6AAE7C6" w14:textId="77777777" w:rsidR="00A22A3A" w:rsidRPr="00373313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</w:tc>
        <w:tc>
          <w:tcPr>
            <w:tcW w:w="1348" w:type="dxa"/>
          </w:tcPr>
          <w:p w14:paraId="358A568B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1726F481" w14:textId="3B189F30" w:rsidR="00A22A3A" w:rsidRPr="00373313" w:rsidRDefault="00335BBD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</w:tr>
    </w:tbl>
    <w:p w14:paraId="3604B07B" w14:textId="77777777" w:rsidR="00FE1DD1" w:rsidRDefault="00FE1DD1" w:rsidP="00E961EC"/>
    <w:p w14:paraId="6CF32F61" w14:textId="77777777" w:rsidR="00FE1DD1" w:rsidRDefault="00FE1DD1" w:rsidP="00E961EC"/>
    <w:p w14:paraId="486D8E21" w14:textId="77777777" w:rsidR="00373313" w:rsidRDefault="00373313" w:rsidP="00E96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373313" w14:paraId="4BDCC1C7" w14:textId="77777777" w:rsidTr="00C470A8">
        <w:tc>
          <w:tcPr>
            <w:tcW w:w="9245" w:type="dxa"/>
          </w:tcPr>
          <w:p w14:paraId="2DF2656D" w14:textId="77777777"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t>Comments</w:t>
            </w:r>
          </w:p>
          <w:p w14:paraId="39EBB073" w14:textId="3CBB9CB5" w:rsidR="00730CE7" w:rsidRDefault="00730CE7" w:rsidP="00730CE7">
            <w:bookmarkStart w:id="0" w:name="_Hlk87359197"/>
            <w:r>
              <w:t xml:space="preserve">Overall, not too bad. Could have been written better in terms of grammar, sentence structure, but this is not an English course (although English in a </w:t>
            </w:r>
            <w:r>
              <w:t>thesis</w:t>
            </w:r>
            <w:r>
              <w:t xml:space="preserve"> is important).</w:t>
            </w:r>
          </w:p>
          <w:p w14:paraId="21DCF13D" w14:textId="77777777" w:rsidR="00730CE7" w:rsidRDefault="00730CE7" w:rsidP="00730CE7"/>
          <w:p w14:paraId="341F733F" w14:textId="3A56F4A2" w:rsidR="00730CE7" w:rsidRDefault="00730CE7" w:rsidP="00730CE7">
            <w:r>
              <w:t>I liked that you used rea</w:t>
            </w:r>
            <w:r>
              <w:t>l</w:t>
            </w:r>
            <w:r>
              <w:t xml:space="preserve"> world data from your own personal experience. The results could have been extrapolated a bit further, but I expect that you ran ou</w:t>
            </w:r>
            <w:r>
              <w:t>t</w:t>
            </w:r>
            <w:r>
              <w:t xml:space="preserve"> of time perhaps in doing the work.</w:t>
            </w:r>
          </w:p>
          <w:p w14:paraId="359519AB" w14:textId="77777777" w:rsidR="00730CE7" w:rsidRDefault="00730CE7" w:rsidP="00730CE7"/>
          <w:p w14:paraId="34069089" w14:textId="06A38A87" w:rsidR="00730CE7" w:rsidRDefault="00730CE7" w:rsidP="00730CE7">
            <w:r>
              <w:t xml:space="preserve">I initially thought that you were a bit light on the references. For </w:t>
            </w:r>
            <w:r>
              <w:t>instance,</w:t>
            </w:r>
            <w:r>
              <w:t xml:space="preserve"> you mentioned surveys, </w:t>
            </w:r>
            <w:r>
              <w:t>examples</w:t>
            </w:r>
            <w:r>
              <w:t xml:space="preserve"> of sellers, </w:t>
            </w:r>
            <w:r>
              <w:t>India</w:t>
            </w:r>
            <w:r>
              <w:t xml:space="preserve">, Italy </w:t>
            </w:r>
            <w:proofErr w:type="spellStart"/>
            <w:r>
              <w:t>etc</w:t>
            </w:r>
            <w:proofErr w:type="spellEnd"/>
            <w:r>
              <w:t xml:space="preserve">, but no </w:t>
            </w:r>
            <w:r>
              <w:t>references</w:t>
            </w:r>
            <w:r>
              <w:t xml:space="preserve"> to where your information was obtained. Then after your introduction you had a lit</w:t>
            </w:r>
            <w:r>
              <w:t>erature</w:t>
            </w:r>
            <w:r>
              <w:t xml:space="preserve"> review where you started quoting the sources. My question than is – why is your introduction reading like a literature</w:t>
            </w:r>
            <w:r>
              <w:t xml:space="preserve"> </w:t>
            </w:r>
            <w:r>
              <w:t>review? This got me a tad confused.</w:t>
            </w:r>
          </w:p>
          <w:p w14:paraId="7AE3A252" w14:textId="77777777" w:rsidR="00730CE7" w:rsidRDefault="00730CE7" w:rsidP="00730CE7"/>
          <w:p w14:paraId="1C02CAD1" w14:textId="36B02AF5" w:rsidR="00730CE7" w:rsidRDefault="00730CE7" w:rsidP="00730CE7">
            <w:r>
              <w:t xml:space="preserve">&gt;50% of your thesis was on the intro and literature review. I personally think that was a bit much. 25% would have been just right; a shorted intro and lit review would have definitely helped. You could have focused more effort on the analysis and the implication of how it would change your </w:t>
            </w:r>
            <w:r>
              <w:t>perspective</w:t>
            </w:r>
            <w:r>
              <w:t xml:space="preserve"> as a business owner.</w:t>
            </w:r>
          </w:p>
          <w:p w14:paraId="2BEA4544" w14:textId="77777777" w:rsidR="00730CE7" w:rsidRDefault="00730CE7" w:rsidP="00730CE7"/>
          <w:p w14:paraId="4861CE79" w14:textId="4013EE40" w:rsidR="00904DAE" w:rsidRDefault="00730CE7" w:rsidP="001A3F02">
            <w:r>
              <w:t xml:space="preserve">Despite this, the results were interesting to me and </w:t>
            </w:r>
            <w:proofErr w:type="gramStart"/>
            <w:r>
              <w:t>o</w:t>
            </w:r>
            <w:r>
              <w:t>verall</w:t>
            </w:r>
            <w:proofErr w:type="gramEnd"/>
            <w:r>
              <w:t xml:space="preserve"> I think it was</w:t>
            </w:r>
            <w:r>
              <w:t xml:space="preserve"> a commendable effort.</w:t>
            </w:r>
          </w:p>
          <w:bookmarkEnd w:id="0"/>
          <w:p w14:paraId="6B3ADA7C" w14:textId="77777777" w:rsidR="00373313" w:rsidRDefault="00373313" w:rsidP="001A3F02"/>
        </w:tc>
      </w:tr>
    </w:tbl>
    <w:p w14:paraId="6F02DD83" w14:textId="77777777" w:rsidR="00373313" w:rsidRDefault="00373313" w:rsidP="00E961EC"/>
    <w:p w14:paraId="5BF8CBD8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0D08F91A" w14:textId="77777777" w:rsidTr="00C470A8">
        <w:tc>
          <w:tcPr>
            <w:tcW w:w="1278" w:type="dxa"/>
          </w:tcPr>
          <w:p w14:paraId="72B114FA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0E7EB029" w14:textId="57795023" w:rsidR="00373313" w:rsidRDefault="002C575B" w:rsidP="001A3F02">
            <w:r>
              <w:rPr>
                <w:noProof/>
              </w:rPr>
              <w:drawing>
                <wp:inline distT="0" distB="0" distL="0" distR="0" wp14:anchorId="640444A6" wp14:editId="52660800">
                  <wp:extent cx="2229161" cy="1276528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2D38D9C1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906982D" w14:textId="368F44E6" w:rsidR="00373313" w:rsidRDefault="002C575B" w:rsidP="001A3F02">
            <w:r>
              <w:t>08 Nov 2021</w:t>
            </w:r>
          </w:p>
        </w:tc>
      </w:tr>
    </w:tbl>
    <w:p w14:paraId="2C490C93" w14:textId="77777777" w:rsidR="00E3291C" w:rsidRDefault="00E3291C" w:rsidP="00E961EC"/>
    <w:p w14:paraId="09742ABD" w14:textId="77777777" w:rsidR="009932A0" w:rsidRDefault="009932A0" w:rsidP="00E961EC"/>
    <w:p w14:paraId="48984523" w14:textId="77777777"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14:paraId="14A13D90" w14:textId="77777777" w:rsidR="009932A0" w:rsidRDefault="009932A0" w:rsidP="009932A0"/>
    <w:p w14:paraId="08C37BBB" w14:textId="77777777"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Variability Chart for Score</w:t>
      </w:r>
    </w:p>
    <w:p w14:paraId="4E6E742C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096A1EF1" wp14:editId="4731AF16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BA182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5816A6EC" wp14:editId="780E93F5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FFD27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14:paraId="203F7DA3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noProof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t>Note to all markers of ANL488:</w:t>
      </w:r>
    </w:p>
    <w:p w14:paraId="3EC3A019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The overall mean mark is 71 for both the Oral and Final Report.  We should aim for </w:t>
      </w:r>
      <w:r w:rsidR="001A1DAF">
        <w:rPr>
          <w:rFonts w:ascii="Segoe UI" w:hAnsi="Segoe UI" w:cs="Segoe UI"/>
          <w:color w:val="000000"/>
          <w:sz w:val="18"/>
          <w:szCs w:val="18"/>
        </w:rPr>
        <w:t>a mean</w:t>
      </w:r>
      <w:r>
        <w:rPr>
          <w:rFonts w:ascii="Segoe UI" w:hAnsi="Segoe UI" w:cs="Segoe UI"/>
          <w:color w:val="000000"/>
          <w:sz w:val="18"/>
          <w:szCs w:val="18"/>
        </w:rPr>
        <w:t xml:space="preserve"> mark </w:t>
      </w:r>
      <w:r w:rsidR="001A1DAF">
        <w:rPr>
          <w:rFonts w:ascii="Segoe UI" w:hAnsi="Segoe UI" w:cs="Segoe UI"/>
          <w:color w:val="000000"/>
          <w:sz w:val="18"/>
          <w:szCs w:val="18"/>
        </w:rPr>
        <w:t>of 65</w:t>
      </w:r>
      <w:r>
        <w:rPr>
          <w:rFonts w:ascii="Segoe UI" w:hAnsi="Segoe UI" w:cs="Segoe UI"/>
          <w:color w:val="000000"/>
          <w:sz w:val="18"/>
          <w:szCs w:val="18"/>
        </w:rPr>
        <w:t xml:space="preserve"> with the excep</w:t>
      </w:r>
      <w:r w:rsidR="001A1DAF">
        <w:rPr>
          <w:rFonts w:ascii="Segoe UI" w:hAnsi="Segoe UI" w:cs="Segoe UI"/>
          <w:color w:val="000000"/>
          <w:sz w:val="18"/>
          <w:szCs w:val="18"/>
        </w:rPr>
        <w:t>tional students scoring around 75.</w:t>
      </w:r>
    </w:p>
    <w:p w14:paraId="71E1AD4E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For those students who have not done enough work for either the oral or the final report, you can ask them to extend for another semester.    </w:t>
      </w:r>
    </w:p>
    <w:p w14:paraId="79C27B73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Markers whose mean is above or below the overall mean should aim to bring it more in line with the overall mean of 71.</w:t>
      </w:r>
    </w:p>
    <w:p w14:paraId="3506DD32" w14:textId="77777777" w:rsidR="009932A0" w:rsidRPr="009932A0" w:rsidRDefault="00904DAE" w:rsidP="00904DAE">
      <w:pPr>
        <w:autoSpaceDE w:val="0"/>
        <w:autoSpaceDN w:val="0"/>
        <w:adjustRightInd w:val="0"/>
        <w:rPr>
          <w:lang w:val="en-SG"/>
        </w:rPr>
      </w:pP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When downloading the proposal for marking from the respective ANL488 T group in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 xml:space="preserve">Canvas 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via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>Assignments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 -&gt; PROPOSAL01, check those whose  Similarity score is above 30%(see Figure 2 below) to see if there is plagiarism(look for 2 whole paragraphs that are copied wholesale without amendment).  Please gather the evidence and put it in a word document and send it to the Head of Programme and Liyana for their necessary action.</w:t>
      </w:r>
    </w:p>
    <w:sectPr w:rsidR="009932A0" w:rsidRPr="009932A0" w:rsidSect="004567E3">
      <w:footerReference w:type="default" r:id="rId13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C8712" w14:textId="77777777" w:rsidR="007B282E" w:rsidRDefault="007B282E" w:rsidP="004567E3">
      <w:r>
        <w:separator/>
      </w:r>
    </w:p>
  </w:endnote>
  <w:endnote w:type="continuationSeparator" w:id="0">
    <w:p w14:paraId="57CCEA45" w14:textId="77777777" w:rsidR="007B282E" w:rsidRDefault="007B282E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F61F3" w14:textId="77777777" w:rsidR="004567E3" w:rsidRDefault="004567E3" w:rsidP="004567E3">
    <w:r>
      <w:t>____________________________________________________________________________</w:t>
    </w:r>
  </w:p>
  <w:p w14:paraId="274D6CD0" w14:textId="77777777" w:rsidR="004567E3" w:rsidRDefault="004567E3" w:rsidP="004567E3">
    <w:r>
      <w:t xml:space="preserve">Final Report Mark (out of 100) = 0.6(Supervisor’s </w:t>
    </w:r>
    <w:proofErr w:type="gramStart"/>
    <w:r>
      <w:t>award)+</w:t>
    </w:r>
    <w:proofErr w:type="gramEnd"/>
    <w:r>
      <w:t>0.4(Second Marker’s award)</w:t>
    </w:r>
  </w:p>
  <w:p w14:paraId="6054309E" w14:textId="77777777" w:rsidR="004567E3" w:rsidRDefault="004567E3" w:rsidP="004567E3"/>
  <w:p w14:paraId="18D9FB10" w14:textId="77777777" w:rsidR="004567E3" w:rsidRPr="00E961EC" w:rsidRDefault="004567E3" w:rsidP="004567E3">
    <w:r>
      <w:t xml:space="preserve">Final Report Mark (out of 60) = 0.6[0.6(Supervisor’s </w:t>
    </w:r>
    <w:proofErr w:type="gramStart"/>
    <w:r>
      <w:t>award)+</w:t>
    </w:r>
    <w:proofErr w:type="gramEnd"/>
    <w: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214B" w14:textId="77777777" w:rsidR="007B282E" w:rsidRDefault="007B282E" w:rsidP="004567E3">
      <w:r>
        <w:separator/>
      </w:r>
    </w:p>
  </w:footnote>
  <w:footnote w:type="continuationSeparator" w:id="0">
    <w:p w14:paraId="1735BBCA" w14:textId="77777777" w:rsidR="007B282E" w:rsidRDefault="007B282E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E4390"/>
    <w:rsid w:val="0014778A"/>
    <w:rsid w:val="001A1DAF"/>
    <w:rsid w:val="001A3F02"/>
    <w:rsid w:val="001A6A00"/>
    <w:rsid w:val="001A6E35"/>
    <w:rsid w:val="001B5260"/>
    <w:rsid w:val="001F1ACD"/>
    <w:rsid w:val="0027622A"/>
    <w:rsid w:val="002C575B"/>
    <w:rsid w:val="00335BBD"/>
    <w:rsid w:val="00341B8E"/>
    <w:rsid w:val="00373313"/>
    <w:rsid w:val="0037723E"/>
    <w:rsid w:val="00380ECD"/>
    <w:rsid w:val="00387CC0"/>
    <w:rsid w:val="003D4D6E"/>
    <w:rsid w:val="00436F90"/>
    <w:rsid w:val="00455707"/>
    <w:rsid w:val="004567E3"/>
    <w:rsid w:val="004D1DE8"/>
    <w:rsid w:val="005249F8"/>
    <w:rsid w:val="005E44E8"/>
    <w:rsid w:val="005F712A"/>
    <w:rsid w:val="0062592F"/>
    <w:rsid w:val="00672902"/>
    <w:rsid w:val="006D4615"/>
    <w:rsid w:val="00730CE7"/>
    <w:rsid w:val="007A4F8F"/>
    <w:rsid w:val="007B282E"/>
    <w:rsid w:val="008674C2"/>
    <w:rsid w:val="008E06B1"/>
    <w:rsid w:val="008E4346"/>
    <w:rsid w:val="00904DAE"/>
    <w:rsid w:val="00933D3C"/>
    <w:rsid w:val="009432EB"/>
    <w:rsid w:val="009932A0"/>
    <w:rsid w:val="00A22A3A"/>
    <w:rsid w:val="00A54F46"/>
    <w:rsid w:val="00AB117D"/>
    <w:rsid w:val="00B2203A"/>
    <w:rsid w:val="00B55DDC"/>
    <w:rsid w:val="00BC7065"/>
    <w:rsid w:val="00BF5BE7"/>
    <w:rsid w:val="00C05D26"/>
    <w:rsid w:val="00C236FD"/>
    <w:rsid w:val="00C3404B"/>
    <w:rsid w:val="00C43D79"/>
    <w:rsid w:val="00C470A8"/>
    <w:rsid w:val="00CE0FF3"/>
    <w:rsid w:val="00D27D10"/>
    <w:rsid w:val="00D3594F"/>
    <w:rsid w:val="00DF5430"/>
    <w:rsid w:val="00E3291C"/>
    <w:rsid w:val="00E33277"/>
    <w:rsid w:val="00E961EC"/>
    <w:rsid w:val="00EE421C"/>
    <w:rsid w:val="00EE57C2"/>
    <w:rsid w:val="00F2511D"/>
    <w:rsid w:val="00F35434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EB9A52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D2DBA4.C71DBCA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E76BD-5DC0-4916-A0AA-08E51C39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Kumar</cp:lastModifiedBy>
  <cp:revision>6</cp:revision>
  <cp:lastPrinted>2010-11-09T02:41:00Z</cp:lastPrinted>
  <dcterms:created xsi:type="dcterms:W3CDTF">2017-08-10T09:29:00Z</dcterms:created>
  <dcterms:modified xsi:type="dcterms:W3CDTF">2021-11-09T06:06:00Z</dcterms:modified>
</cp:coreProperties>
</file>