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7777777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p>
    <w:p w14:paraId="6DD9C9B4" w14:textId="77777777"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proofErr w:type="spellStart"/>
      <w:r w:rsidR="001422D7" w:rsidRPr="00CD2259">
        <w:rPr>
          <w:rFonts w:ascii="Times" w:hAnsi="Times" w:cs="Times"/>
        </w:rPr>
        <w:t>Munish</w:t>
      </w:r>
      <w:proofErr w:type="spellEnd"/>
      <w:r w:rsidR="001422D7" w:rsidRPr="00CD2259">
        <w:rPr>
          <w:rFonts w:ascii="Times" w:hAnsi="Times" w:cs="Times"/>
        </w:rPr>
        <w:t xml:space="preserve">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571BFB5F" w14:textId="77777777"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152E6341"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this perception further. Indeed, this method will be used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3259BD">
        <w:rPr>
          <w:rFonts w:ascii="Times" w:hAnsi="Times" w:cs="Times"/>
        </w:rPr>
        <w:t>perception, by applying said technique to</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52167BD9" w14:textId="77777777"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77351F2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(Jai, n.d.)</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(Kealy, 2015)</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0A60068E"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(Inchauspe, Ripple, &amp; Truck, 2016)</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(Jacobsson &amp; Johnson, 2000; Jagadeesh, 2000; Shrimali, Goel, Srinivasan, &amp; Neslon, 2014)</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(Bradshaw &amp; Borchers, 2000; West, Bailey, &amp; Winter, 2010; Masini &amp; Menichetti, 2013; Maqbool, Rashid, Sultana, &amp; Sudong, 2018)</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65F6886A"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104F10">
            <w:rPr>
              <w:rFonts w:ascii="Times" w:hAnsi="Times" w:cs="Times"/>
              <w:bCs/>
              <w:noProof/>
            </w:rPr>
            <w:t xml:space="preserve"> </w:t>
          </w:r>
          <w:r w:rsidR="00104F10" w:rsidRPr="00104F10">
            <w:rPr>
              <w:rFonts w:ascii="Times" w:hAnsi="Times" w:cs="Times"/>
              <w:noProof/>
            </w:rPr>
            <w:t>(Ramage, Rosen, Chuang, Manning, &amp; McFarland, 2009; Bickel, 2019)</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39F4C08B"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w:t>
      </w:r>
      <w:proofErr w:type="spellStart"/>
      <w:r w:rsidR="009E0415" w:rsidRPr="00CD2259">
        <w:rPr>
          <w:rFonts w:ascii="Times" w:hAnsi="Times" w:cs="Times"/>
          <w:bCs/>
        </w:rPr>
        <w:t>categorising</w:t>
      </w:r>
      <w:proofErr w:type="spellEnd"/>
      <w:r w:rsidR="009E0415" w:rsidRPr="00CD2259">
        <w:rPr>
          <w:rFonts w:ascii="Times" w:hAnsi="Times" w:cs="Times"/>
          <w:bCs/>
        </w:rPr>
        <w:t xml:space="preserve">,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104F10" w:rsidRPr="00104F10">
            <w:rPr>
              <w:rFonts w:ascii="Times" w:hAnsi="Times" w:cs="Times"/>
              <w:noProof/>
            </w:rPr>
            <w:t>(Ramage, Rosen, Chuang, Manning, &amp; McFarland, 2009)</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53E6481D"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104F10" w:rsidRPr="00104F10">
            <w:rPr>
              <w:rFonts w:ascii="Times" w:hAnsi="Times" w:cs="Times"/>
              <w:noProof/>
            </w:rPr>
            <w:t>(Kapadia, 2019; Mifrah &amp; Benlahmar, 2020)</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104F10" w:rsidRPr="00104F10">
            <w:rPr>
              <w:rFonts w:ascii="Times" w:hAnsi="Times" w:cs="Times"/>
              <w:noProof/>
            </w:rPr>
            <w:t>(Prabhakaran, 2018)</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38BF722D" w:rsidR="008D4C81" w:rsidRDefault="00F06A2D" w:rsidP="009E0415">
      <w:pPr>
        <w:pStyle w:val="Teaser"/>
        <w:jc w:val="both"/>
        <w:rPr>
          <w:rFonts w:ascii="Times" w:hAnsi="Times" w:cs="Times"/>
        </w:rPr>
      </w:pPr>
      <w:r w:rsidRPr="00CD2259">
        <w:rPr>
          <w:rFonts w:ascii="Times" w:hAnsi="Times" w:cs="Times"/>
        </w:rPr>
        <w:lastRenderedPageBreak/>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 xml:space="preserve">policy, </w:t>
      </w:r>
      <w:proofErr w:type="gramStart"/>
      <w:r w:rsidR="00B74510">
        <w:rPr>
          <w:rFonts w:ascii="Times" w:hAnsi="Times" w:cs="Times"/>
        </w:rPr>
        <w:t>economics</w:t>
      </w:r>
      <w:proofErr w:type="gramEnd"/>
      <w:r w:rsidR="00B74510">
        <w:rPr>
          <w:rFonts w:ascii="Times" w:hAnsi="Times" w:cs="Times"/>
        </w:rPr>
        <w:t xml:space="preserve"> and technology readiness) across global datasets</w:t>
      </w:r>
      <w:r w:rsidR="008D4C81">
        <w:rPr>
          <w:rFonts w:ascii="Times" w:hAnsi="Times" w:cs="Times"/>
        </w:rPr>
        <w:t xml:space="preserve">. </w:t>
      </w:r>
      <w:r w:rsidR="00174271">
        <w:rPr>
          <w:rFonts w:ascii="Times" w:hAnsi="Times" w:cs="Times"/>
        </w:rPr>
        <w:t xml:space="preserve">Below displays the breakdown of the 100 scientific articles and their source. The most popular journals are the Energy Policy followed by Sustainability and Energy. The majority ‘Others’ category is a combination of </w:t>
      </w:r>
      <w:proofErr w:type="gramStart"/>
      <w:r w:rsidR="00174271">
        <w:rPr>
          <w:rFonts w:ascii="Times" w:hAnsi="Times" w:cs="Times"/>
        </w:rPr>
        <w:t>all  individual</w:t>
      </w:r>
      <w:proofErr w:type="gramEnd"/>
      <w:r w:rsidR="00174271">
        <w:rPr>
          <w:rFonts w:ascii="Times" w:hAnsi="Times" w:cs="Times"/>
        </w:rPr>
        <w:t xml:space="preserve"> articles from various journal types.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561EFAA2" w:rsidR="00174271" w:rsidRPr="00174271" w:rsidRDefault="00174271" w:rsidP="00174271">
      <w:pPr>
        <w:pStyle w:val="Caption"/>
        <w:jc w:val="center"/>
        <w:rPr>
          <w:rFonts w:ascii="Times" w:hAnsi="Times" w:cs="Times"/>
          <w:b/>
        </w:rPr>
      </w:pPr>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Pr>
          <w:rFonts w:ascii="Times" w:hAnsi="Times" w:cs="Times"/>
          <w:noProof/>
        </w:rPr>
        <w:t>1</w:t>
      </w:r>
      <w:r w:rsidRPr="00CD2259">
        <w:rPr>
          <w:rFonts w:ascii="Times" w:hAnsi="Times" w:cs="Times"/>
        </w:rPr>
        <w:fldChar w:fldCharType="end"/>
      </w:r>
      <w:r w:rsidRPr="00CD2259">
        <w:rPr>
          <w:rFonts w:ascii="Times" w:hAnsi="Times" w:cs="Times"/>
        </w:rPr>
        <w:t xml:space="preserve">: </w:t>
      </w:r>
      <w:r>
        <w:rPr>
          <w:rFonts w:ascii="Times" w:hAnsi="Times" w:cs="Times"/>
        </w:rPr>
        <w:t>Breakdown of dataset, the sources of journal articles</w:t>
      </w:r>
    </w:p>
    <w:p w14:paraId="6F7979B1" w14:textId="7088703E" w:rsidR="00C90A88" w:rsidRPr="00CD2259" w:rsidRDefault="00115071" w:rsidP="009E0415">
      <w:pPr>
        <w:pStyle w:val="Teaser"/>
        <w:jc w:val="both"/>
        <w:rPr>
          <w:rFonts w:ascii="Times" w:hAnsi="Times" w:cs="Times"/>
        </w:rPr>
      </w:pPr>
      <w:proofErr w:type="gramStart"/>
      <w:r w:rsidRPr="00CD2259">
        <w:rPr>
          <w:rFonts w:ascii="Times" w:hAnsi="Times" w:cs="Times"/>
        </w:rPr>
        <w:t>In order to</w:t>
      </w:r>
      <w:proofErr w:type="gramEnd"/>
      <w:r w:rsidRPr="00CD2259">
        <w:rPr>
          <w:rFonts w:ascii="Times" w:hAnsi="Times" w:cs="Times"/>
        </w:rPr>
        <w:t xml:space="preserve">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251173C4"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104F10" w:rsidRPr="00104F10">
            <w:rPr>
              <w:rFonts w:ascii="Times" w:hAnsi="Times" w:cs="Times"/>
              <w:noProof/>
            </w:rPr>
            <w:t>(Bird, Klein, &amp; Loper, 2009)</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25233BD3"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00174271">
        <w:rPr>
          <w:rFonts w:ascii="Times" w:hAnsi="Times" w:cs="Times"/>
        </w:rPr>
        <w:t>2</w:t>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7B1A989B"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bookmarkEnd w:id="1"/>
      <w:r w:rsidR="00174271">
        <w:rPr>
          <w:rFonts w:ascii="Times" w:hAnsi="Times" w:cs="Times"/>
        </w:rPr>
        <w:t>3</w:t>
      </w:r>
      <w:r w:rsidRPr="00CD2259">
        <w:rPr>
          <w:rFonts w:ascii="Times" w:hAnsi="Times" w:cs="Times"/>
        </w:rPr>
        <w:t>: 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77777777"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rPr>
        <w: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w:t>
      </w:r>
      <w:proofErr w:type="gramStart"/>
      <w:r w:rsidR="00726BD1" w:rsidRPr="00CD2259">
        <w:rPr>
          <w:rFonts w:ascii="Times" w:hAnsi="Times" w:cs="Times"/>
          <w:bCs/>
        </w:rPr>
        <w:t>and also</w:t>
      </w:r>
      <w:proofErr w:type="gramEnd"/>
      <w:r w:rsidR="00726BD1" w:rsidRPr="00CD2259">
        <w:rPr>
          <w:rFonts w:ascii="Times" w:hAnsi="Times" w:cs="Times"/>
          <w:bCs/>
        </w:rPr>
        <w:t xml:space="preserve">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w:t>
      </w:r>
      <w:proofErr w:type="gramStart"/>
      <w:r w:rsidR="00BE12F0" w:rsidRPr="00CD2259">
        <w:rPr>
          <w:rFonts w:ascii="Times" w:hAnsi="Times" w:cs="Times"/>
          <w:bCs/>
        </w:rPr>
        <w:t>and also</w:t>
      </w:r>
      <w:proofErr w:type="gramEnd"/>
      <w:r w:rsidR="00BE12F0" w:rsidRPr="00CD2259">
        <w:rPr>
          <w:rFonts w:ascii="Times" w:hAnsi="Times" w:cs="Times"/>
          <w:bCs/>
        </w:rPr>
        <w:t xml:space="preserve">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1017CFE1" w14:textId="37A873F8"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proofErr w:type="gramStart"/>
      <w:r w:rsidR="00913B96" w:rsidRPr="00CD2259">
        <w:rPr>
          <w:rFonts w:ascii="Times" w:hAnsi="Times" w:cs="Times"/>
          <w:bCs/>
        </w:rPr>
        <w:t>In order to</w:t>
      </w:r>
      <w:proofErr w:type="gramEnd"/>
      <w:r w:rsidR="00913B96" w:rsidRPr="00CD2259">
        <w:rPr>
          <w:rFonts w:ascii="Times" w:hAnsi="Times" w:cs="Times"/>
          <w:bCs/>
        </w:rPr>
        <w:t xml:space="preserve">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xml:space="preserve">) is used, with each bubble representing a topic. </w:t>
      </w:r>
      <w:proofErr w:type="gramStart"/>
      <w:r w:rsidR="00913B96" w:rsidRPr="00CD2259">
        <w:rPr>
          <w:rFonts w:ascii="Times" w:hAnsi="Times" w:cs="Times"/>
          <w:bCs/>
        </w:rPr>
        <w:t>Through the use of</w:t>
      </w:r>
      <w:proofErr w:type="gramEnd"/>
      <w:r w:rsidR="00913B96" w:rsidRPr="00CD2259">
        <w:rPr>
          <w:rFonts w:ascii="Times" w:hAnsi="Times" w:cs="Times"/>
          <w:bCs/>
        </w:rPr>
        <w:t xml:space="preserve">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104F10" w:rsidRPr="00104F10">
            <w:rPr>
              <w:rFonts w:ascii="Times" w:hAnsi="Times" w:cs="Times"/>
              <w:noProof/>
            </w:rPr>
            <w:t>(Sievert &amp; Shirley, 2014)</w:t>
          </w:r>
          <w:r w:rsidR="00340286" w:rsidRPr="00CD2259">
            <w:rPr>
              <w:rFonts w:ascii="Times" w:hAnsi="Times" w:cs="Times"/>
            </w:rPr>
            <w:fldChar w:fldCharType="end"/>
          </w:r>
        </w:sdtContent>
      </w:sdt>
      <w:r w:rsidR="00752B09"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77777777"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“firm” and “adoption”. </w:t>
      </w:r>
      <w:commentRangeStart w:id="2"/>
      <w:commentRangeStart w:id="3"/>
      <w:r w:rsidR="00A20A3F">
        <w:rPr>
          <w:rFonts w:ascii="Times" w:hAnsi="Times" w:cs="Times"/>
        </w:rPr>
        <w:t xml:space="preserve">For this work, we </w:t>
      </w:r>
      <w:r w:rsidR="00F736A2">
        <w:rPr>
          <w:rFonts w:ascii="Times" w:hAnsi="Times" w:cs="Times"/>
        </w:rPr>
        <w:t xml:space="preserve">find </w:t>
      </w:r>
      <w:r w:rsidR="00F736A2" w:rsidRPr="00D77A5A">
        <w:rPr>
          <w:rFonts w:ascii="Times" w:hAnsi="Times" w:cs="Times"/>
          <w:highlight w:val="yellow"/>
        </w:rPr>
        <w:t xml:space="preserve">that </w:t>
      </w:r>
      <w:r w:rsidR="00A20A3F" w:rsidRPr="00D77A5A">
        <w:rPr>
          <w:rFonts w:ascii="Times" w:hAnsi="Times" w:cs="Times"/>
          <w:highlight w:val="yellow"/>
        </w:rPr>
        <w:t>λ = 1</w:t>
      </w:r>
      <w:r w:rsidR="00F736A2">
        <w:rPr>
          <w:rFonts w:ascii="Times" w:hAnsi="Times" w:cs="Times"/>
        </w:rPr>
        <w:t xml:space="preserve"> is suitable for the modelling</w:t>
      </w:r>
      <w:r w:rsidR="00A20A3F" w:rsidRPr="00A20A3F">
        <w:rPr>
          <w:rFonts w:ascii="Times" w:hAnsi="Times" w:cs="Times"/>
        </w:rPr>
        <w:t xml:space="preserve">. </w:t>
      </w:r>
      <w:r w:rsidR="00864A5F" w:rsidRPr="00A20A3F">
        <w:rPr>
          <w:rFonts w:ascii="Times" w:hAnsi="Times" w:cs="Times"/>
          <w:highlight w:val="yellow"/>
        </w:rPr>
        <w:t xml:space="preserve">(QN: </w:t>
      </w:r>
      <w:r w:rsidR="00A20A3F" w:rsidRPr="00A20A3F">
        <w:rPr>
          <w:rFonts w:ascii="Times" w:hAnsi="Times" w:cs="Times"/>
          <w:highlight w:val="yellow"/>
        </w:rPr>
        <w:t>IS THIS CORRECT?)</w:t>
      </w:r>
      <w:commentRangeEnd w:id="2"/>
      <w:r w:rsidR="00535F77">
        <w:rPr>
          <w:rStyle w:val="CommentReference"/>
        </w:rPr>
        <w:commentReference w:id="2"/>
      </w:r>
      <w:commentRangeEnd w:id="3"/>
      <w:r w:rsidR="00E23B7F">
        <w:rPr>
          <w:rStyle w:val="CommentReference"/>
        </w:rPr>
        <w:commentReference w:id="3"/>
      </w:r>
    </w:p>
    <w:p w14:paraId="6EF43084" w14:textId="77777777" w:rsidR="005D653C" w:rsidRDefault="005D653C" w:rsidP="00E7206F">
      <w:pPr>
        <w:pStyle w:val="Teaser"/>
        <w:jc w:val="center"/>
        <w:rPr>
          <w:rFonts w:ascii="Times" w:hAnsi="Times" w:cs="Times"/>
          <w:bCs/>
        </w:rPr>
      </w:pPr>
    </w:p>
    <w:p w14:paraId="1C80D0B0" w14:textId="72A99634" w:rsidR="003071B0" w:rsidRPr="00CD2259" w:rsidRDefault="005D653C" w:rsidP="00E7206F">
      <w:pPr>
        <w:pStyle w:val="Teaser"/>
        <w:jc w:val="center"/>
        <w:rPr>
          <w:rFonts w:ascii="Times" w:hAnsi="Times" w:cs="Times"/>
          <w:bCs/>
        </w:rPr>
      </w:pPr>
      <w:r>
        <w:rPr>
          <w:rFonts w:ascii="Times" w:hAnsi="Times" w:cs="Times"/>
          <w:bCs/>
          <w:noProof/>
        </w:rPr>
        <w:drawing>
          <wp:inline distT="0" distB="0" distL="0" distR="0" wp14:anchorId="68567E42" wp14:editId="3A74AF17">
            <wp:extent cx="4622800" cy="24638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a:stretch>
                      <a:fillRect/>
                    </a:stretch>
                  </pic:blipFill>
                  <pic:spPr>
                    <a:xfrm>
                      <a:off x="0" y="0"/>
                      <a:ext cx="4622800" cy="2463800"/>
                    </a:xfrm>
                    <a:prstGeom prst="rect">
                      <a:avLst/>
                    </a:prstGeom>
                  </pic:spPr>
                </pic:pic>
              </a:graphicData>
            </a:graphic>
          </wp:inline>
        </w:drawing>
      </w:r>
    </w:p>
    <w:p w14:paraId="14D2A404" w14:textId="65134AAC" w:rsidR="00E7206F" w:rsidRPr="00CD2259" w:rsidRDefault="00E7206F" w:rsidP="00E7206F">
      <w:pPr>
        <w:pStyle w:val="Caption"/>
        <w:jc w:val="center"/>
        <w:rPr>
          <w:rFonts w:ascii="Times" w:hAnsi="Times" w:cs="Times"/>
        </w:rPr>
      </w:pPr>
      <w:bookmarkStart w:id="4" w:name="_Ref94023816"/>
      <w:r w:rsidRPr="00CD2259">
        <w:rPr>
          <w:rFonts w:ascii="Times" w:hAnsi="Times" w:cs="Times"/>
        </w:rPr>
        <w:t>Figure</w:t>
      </w:r>
      <w:bookmarkEnd w:id="4"/>
      <w:r w:rsidR="00174271">
        <w:rPr>
          <w:rFonts w:ascii="Times" w:hAnsi="Times" w:cs="Times"/>
        </w:rPr>
        <w:t xml:space="preserve"> </w:t>
      </w:r>
      <w:r w:rsidR="00174271">
        <w:rPr>
          <w:rStyle w:val="CommentReference"/>
          <w:rFonts w:eastAsia="Times New Roman"/>
          <w:i w:val="0"/>
          <w:iCs w:val="0"/>
          <w:color w:val="auto"/>
        </w:rPr>
        <w:t>5</w:t>
      </w:r>
      <w:r w:rsidRPr="00CD2259">
        <w:rPr>
          <w:rFonts w:ascii="Times" w:hAnsi="Times" w:cs="Times"/>
        </w:rPr>
        <w:t>: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53A026FC" w:rsidR="003071B0" w:rsidRPr="00CD2259" w:rsidRDefault="00A07662"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7696" behindDoc="0" locked="0" layoutInCell="1" allowOverlap="1" wp14:anchorId="42046BB0" wp14:editId="3BD51AF4">
                <wp:simplePos x="0" y="0"/>
                <wp:positionH relativeFrom="column">
                  <wp:posOffset>1597660</wp:posOffset>
                </wp:positionH>
                <wp:positionV relativeFrom="paragraph">
                  <wp:posOffset>1168562</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6" style="position:absolute;left:0;text-align:left;margin-left:125.8pt;margin-top:92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" fillcolor="#e98481" stroked="f" strokeweight="2pt">
                <v:textbo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5648" behindDoc="0" locked="0" layoutInCell="1" allowOverlap="1" wp14:anchorId="3C772F69" wp14:editId="1CCCA594">
                <wp:simplePos x="0" y="0"/>
                <wp:positionH relativeFrom="column">
                  <wp:posOffset>968213</wp:posOffset>
                </wp:positionH>
                <wp:positionV relativeFrom="paragraph">
                  <wp:posOffset>2837180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7" style="position:absolute;left:0;text-align:left;margin-left:76.25pt;margin-top:223.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" fillcolor="#d6e4f1" stroked="f" strokeweight="2pt">
                <v:textbo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2A37BEB4">
                <wp:simplePos x="0" y="0"/>
                <wp:positionH relativeFrom="column">
                  <wp:posOffset>2491002</wp:posOffset>
                </wp:positionH>
                <wp:positionV relativeFrom="paragraph">
                  <wp:posOffset>1402582</wp:posOffset>
                </wp:positionV>
                <wp:extent cx="191386" cy="255182"/>
                <wp:effectExtent l="0" t="0" r="0" b="0"/>
                <wp:wrapNone/>
                <wp:docPr id="22" name="Rectangle 22"/>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69916" id="Rectangle 22" o:spid="_x0000_s1028" style="position:absolute;left:0;text-align:left;margin-left:196.15pt;margin-top:110.45pt;width:15.05pt;height:20.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" fillcolor="#d6e4f1" stroked="f" strokeweight="2pt">
                <v:textbo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66E43DB9">
                <wp:simplePos x="0" y="0"/>
                <wp:positionH relativeFrom="column">
                  <wp:posOffset>2118419</wp:posOffset>
                </wp:positionH>
                <wp:positionV relativeFrom="paragraph">
                  <wp:posOffset>869950</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166.8pt;margin-top:68.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" fillcolor="#d6e4f1" stroked="f" strokeweight="2pt">
                <v:textbo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1970C074">
                <wp:simplePos x="0" y="0"/>
                <wp:positionH relativeFrom="column">
                  <wp:posOffset>158750</wp:posOffset>
                </wp:positionH>
                <wp:positionV relativeFrom="paragraph">
                  <wp:posOffset>611667</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30" style="position:absolute;left:0;text-align:left;margin-left:12.5pt;margin-top:48.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" fillcolor="#d6e4f1" stroked="f" strokeweight="2pt">
                <v:textbo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sidR="00252368">
        <w:rPr>
          <w:rFonts w:ascii="Times" w:hAnsi="Times" w:cs="Times"/>
          <w:bCs/>
          <w:noProof/>
        </w:rPr>
        <w:drawing>
          <wp:inline distT="0" distB="0" distL="0" distR="0" wp14:anchorId="20A57B33" wp14:editId="50191C6C">
            <wp:extent cx="5943600" cy="380111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9"/>
                    <a:stretch>
                      <a:fillRect/>
                    </a:stretch>
                  </pic:blipFill>
                  <pic:spPr>
                    <a:xfrm>
                      <a:off x="0" y="0"/>
                      <a:ext cx="5943600" cy="3801110"/>
                    </a:xfrm>
                    <a:prstGeom prst="rect">
                      <a:avLst/>
                    </a:prstGeom>
                  </pic:spPr>
                </pic:pic>
              </a:graphicData>
            </a:graphic>
          </wp:inline>
        </w:drawing>
      </w:r>
    </w:p>
    <w:p w14:paraId="10B5BE5F" w14:textId="25757E4B" w:rsidR="00E7206F" w:rsidRDefault="002C5AFB" w:rsidP="00864A5F">
      <w:pPr>
        <w:pStyle w:val="Caption"/>
        <w:jc w:val="center"/>
        <w:rPr>
          <w:rFonts w:ascii="Times" w:hAnsi="Times" w:cs="Times"/>
        </w:rPr>
      </w:pPr>
      <w:bookmarkStart w:id="5" w:name="_Ref94022086"/>
      <w:r w:rsidRPr="00CD2259">
        <w:rPr>
          <w:rFonts w:ascii="Times" w:hAnsi="Times" w:cs="Times"/>
        </w:rPr>
        <w:t>Figure</w:t>
      </w:r>
      <w:bookmarkEnd w:id="5"/>
      <w:r w:rsidR="00174271">
        <w:rPr>
          <w:rFonts w:ascii="Times" w:hAnsi="Times" w:cs="Times"/>
        </w:rPr>
        <w:t xml:space="preserve"> 6</w:t>
      </w:r>
      <w:r w:rsidRPr="00CD2259">
        <w:rPr>
          <w:rFonts w:ascii="Times" w:hAnsi="Times" w:cs="Times"/>
        </w:rPr>
        <w:t xml:space="preserve">: Topic Visualization using a Bubble map and the corresponding top </w:t>
      </w:r>
      <w:r w:rsidR="00252368">
        <w:rPr>
          <w:rFonts w:ascii="Times" w:hAnsi="Times" w:cs="Times"/>
        </w:rPr>
        <w:t>1</w:t>
      </w:r>
      <w:r w:rsidR="006E7996">
        <w:rPr>
          <w:rFonts w:ascii="Times" w:hAnsi="Times" w:cs="Times"/>
        </w:rPr>
        <w:t>0</w:t>
      </w:r>
      <w:r w:rsidRPr="00CD2259">
        <w:rPr>
          <w:rFonts w:ascii="Times" w:hAnsi="Times" w:cs="Times"/>
        </w:rPr>
        <w:t xml:space="preserve"> terms in each topic</w:t>
      </w:r>
    </w:p>
    <w:p w14:paraId="2754F910" w14:textId="07607ABE" w:rsidR="00752B09" w:rsidRPr="00CD2259" w:rsidRDefault="00A07662" w:rsidP="00864A5F">
      <w:pPr>
        <w:jc w:val="center"/>
        <w:rPr>
          <w:rFonts w:ascii="Times" w:hAnsi="Times" w:cs="Times"/>
        </w:rPr>
      </w:pPr>
      <w:r>
        <w:rPr>
          <w:rFonts w:ascii="Times" w:hAnsi="Times" w:cs="Times"/>
          <w:noProof/>
          <w:lang w:val="en-SG" w:eastAsia="en-SG"/>
        </w:rPr>
        <w:lastRenderedPageBreak/>
        <mc:AlternateContent>
          <mc:Choice Requires="wps">
            <w:drawing>
              <wp:anchor distT="0" distB="0" distL="114300" distR="114300" simplePos="0" relativeHeight="251662336" behindDoc="0" locked="0" layoutInCell="1" allowOverlap="1" wp14:anchorId="71320E67" wp14:editId="10325F6E">
                <wp:simplePos x="0" y="0"/>
                <wp:positionH relativeFrom="column">
                  <wp:posOffset>1597025</wp:posOffset>
                </wp:positionH>
                <wp:positionV relativeFrom="paragraph">
                  <wp:posOffset>601980</wp:posOffset>
                </wp:positionV>
                <wp:extent cx="414655" cy="276225"/>
                <wp:effectExtent l="0" t="0" r="0" b="0"/>
                <wp:wrapNone/>
                <wp:docPr id="14" name="Rectangle 14"/>
                <wp:cNvGraphicFramePr/>
                <a:graphic xmlns:a="http://schemas.openxmlformats.org/drawingml/2006/main">
                  <a:graphicData uri="http://schemas.microsoft.com/office/word/2010/wordprocessingShape">
                    <wps:wsp>
                      <wps:cNvSpPr/>
                      <wps:spPr>
                        <a:xfrm>
                          <a:off x="0" y="0"/>
                          <a:ext cx="41465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64037" w14:textId="7ACA53AA" w:rsidR="00A62D64" w:rsidRPr="00A07662" w:rsidRDefault="00A62D64" w:rsidP="00A62D64">
                            <w:pPr>
                              <w:jc w:val="center"/>
                              <w:rPr>
                                <w:rFonts w:ascii="Arial" w:hAnsi="Arial" w:cs="Arial"/>
                                <w:color w:val="404040" w:themeColor="text1" w:themeTint="BF"/>
                                <w:sz w:val="26"/>
                                <w:szCs w:val="26"/>
                              </w:rPr>
                            </w:pPr>
                            <w:r w:rsidRPr="00A07662">
                              <w:rPr>
                                <w:rFonts w:ascii="Arial" w:hAnsi="Arial" w:cs="Arial"/>
                                <w:color w:val="404040" w:themeColor="text1" w:themeTint="BF"/>
                                <w:sz w:val="26"/>
                                <w:szCs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20E67" id="Rectangle 14" o:spid="_x0000_s1031" style="position:absolute;left:0;text-align:left;margin-left:125.75pt;margin-top:47.4pt;width:32.6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" filled="f" stroked="f" strokeweight="2pt">
                <v:textbox>
                  <w:txbxContent>
                    <w:p w14:paraId="08264037" w14:textId="7ACA53AA" w:rsidR="00A62D64" w:rsidRPr="00A07662" w:rsidRDefault="00A62D64" w:rsidP="00A62D64">
                      <w:pPr>
                        <w:jc w:val="center"/>
                        <w:rPr>
                          <w:rFonts w:ascii="Arial" w:hAnsi="Arial" w:cs="Arial"/>
                          <w:color w:val="404040" w:themeColor="text1" w:themeTint="BF"/>
                          <w:sz w:val="26"/>
                          <w:szCs w:val="26"/>
                        </w:rPr>
                      </w:pPr>
                      <w:r w:rsidRPr="00A07662">
                        <w:rPr>
                          <w:rFonts w:ascii="Arial" w:hAnsi="Arial" w:cs="Arial"/>
                          <w:color w:val="404040" w:themeColor="text1" w:themeTint="BF"/>
                          <w:sz w:val="26"/>
                          <w:szCs w:val="26"/>
                        </w:rPr>
                        <w:t>10</w:t>
                      </w:r>
                    </w:p>
                  </w:txbxContent>
                </v:textbox>
              </v:rect>
            </w:pict>
          </mc:Fallback>
        </mc:AlternateContent>
      </w:r>
      <w:r>
        <w:rPr>
          <w:rFonts w:ascii="Times" w:hAnsi="Times" w:cs="Times"/>
          <w:noProof/>
          <w:lang w:val="en-SG" w:eastAsia="en-SG"/>
        </w:rPr>
        <mc:AlternateContent>
          <mc:Choice Requires="wps">
            <w:drawing>
              <wp:anchor distT="0" distB="0" distL="114300" distR="114300" simplePos="0" relativeHeight="251668480" behindDoc="0" locked="0" layoutInCell="1" allowOverlap="1" wp14:anchorId="0A1CBB7D" wp14:editId="25946CFE">
                <wp:simplePos x="0" y="0"/>
                <wp:positionH relativeFrom="column">
                  <wp:posOffset>1596390</wp:posOffset>
                </wp:positionH>
                <wp:positionV relativeFrom="paragraph">
                  <wp:posOffset>2857662</wp:posOffset>
                </wp:positionV>
                <wp:extent cx="414670" cy="276446"/>
                <wp:effectExtent l="0" t="0" r="0" b="0"/>
                <wp:wrapNone/>
                <wp:docPr id="18" name="Rectangle 18"/>
                <wp:cNvGraphicFramePr/>
                <a:graphic xmlns:a="http://schemas.openxmlformats.org/drawingml/2006/main">
                  <a:graphicData uri="http://schemas.microsoft.com/office/word/2010/wordprocessingShape">
                    <wps:wsp>
                      <wps:cNvSpPr/>
                      <wps:spPr>
                        <a:xfrm>
                          <a:off x="0" y="0"/>
                          <a:ext cx="414670" cy="276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81A747" w14:textId="77777777" w:rsidR="00A07662" w:rsidRPr="00A07662" w:rsidRDefault="00A07662" w:rsidP="00A07662">
                            <w:pPr>
                              <w:jc w:val="center"/>
                              <w:rPr>
                                <w:rFonts w:ascii="Arial" w:hAnsi="Arial" w:cs="Arial"/>
                                <w:color w:val="404040" w:themeColor="text1" w:themeTint="BF"/>
                                <w:sz w:val="26"/>
                                <w:szCs w:val="26"/>
                              </w:rPr>
                            </w:pPr>
                            <w:r w:rsidRPr="00A07662">
                              <w:rPr>
                                <w:rFonts w:ascii="Arial" w:hAnsi="Arial" w:cs="Arial"/>
                                <w:color w:val="404040" w:themeColor="text1" w:themeTint="BF"/>
                                <w:sz w:val="26"/>
                                <w:szCs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CBB7D" id="Rectangle 18" o:spid="_x0000_s1032" style="position:absolute;left:0;text-align:left;margin-left:125.7pt;margin-top:225pt;width:32.6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" filled="f" stroked="f" strokeweight="2pt">
                <v:textbox>
                  <w:txbxContent>
                    <w:p w14:paraId="4C81A747" w14:textId="77777777" w:rsidR="00A07662" w:rsidRPr="00A07662" w:rsidRDefault="00A07662" w:rsidP="00A07662">
                      <w:pPr>
                        <w:jc w:val="center"/>
                        <w:rPr>
                          <w:rFonts w:ascii="Arial" w:hAnsi="Arial" w:cs="Arial"/>
                          <w:color w:val="404040" w:themeColor="text1" w:themeTint="BF"/>
                          <w:sz w:val="26"/>
                          <w:szCs w:val="26"/>
                        </w:rPr>
                      </w:pPr>
                      <w:r w:rsidRPr="00A07662">
                        <w:rPr>
                          <w:rFonts w:ascii="Arial" w:hAnsi="Arial" w:cs="Arial"/>
                          <w:color w:val="404040" w:themeColor="text1" w:themeTint="BF"/>
                          <w:sz w:val="26"/>
                          <w:szCs w:val="26"/>
                        </w:rPr>
                        <w:t>10</w:t>
                      </w:r>
                    </w:p>
                  </w:txbxContent>
                </v:textbox>
              </v:rect>
            </w:pict>
          </mc:Fallback>
        </mc:AlternateContent>
      </w:r>
      <w:r>
        <w:rPr>
          <w:rFonts w:ascii="Times" w:hAnsi="Times" w:cs="Times"/>
          <w:noProof/>
          <w:lang w:val="en-SG" w:eastAsia="en-SG"/>
        </w:rPr>
        <mc:AlternateContent>
          <mc:Choice Requires="wps">
            <w:drawing>
              <wp:anchor distT="0" distB="0" distL="114300" distR="114300" simplePos="0" relativeHeight="251664384" behindDoc="0" locked="0" layoutInCell="1" allowOverlap="1" wp14:anchorId="3D329AE9" wp14:editId="1B516E04">
                <wp:simplePos x="0" y="0"/>
                <wp:positionH relativeFrom="column">
                  <wp:posOffset>1597321</wp:posOffset>
                </wp:positionH>
                <wp:positionV relativeFrom="paragraph">
                  <wp:posOffset>2847532</wp:posOffset>
                </wp:positionV>
                <wp:extent cx="414670" cy="276446"/>
                <wp:effectExtent l="0" t="0" r="0" b="0"/>
                <wp:wrapNone/>
                <wp:docPr id="15" name="Rectangle 15"/>
                <wp:cNvGraphicFramePr/>
                <a:graphic xmlns:a="http://schemas.openxmlformats.org/drawingml/2006/main">
                  <a:graphicData uri="http://schemas.microsoft.com/office/word/2010/wordprocessingShape">
                    <wps:wsp>
                      <wps:cNvSpPr/>
                      <wps:spPr>
                        <a:xfrm>
                          <a:off x="0" y="0"/>
                          <a:ext cx="414670" cy="276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53594F" w14:textId="77777777" w:rsidR="00A07662" w:rsidRPr="00A07662" w:rsidRDefault="00A07662" w:rsidP="00A07662">
                            <w:pPr>
                              <w:jc w:val="center"/>
                              <w:rPr>
                                <w:rFonts w:ascii="Arial" w:hAnsi="Arial" w:cs="Arial"/>
                                <w:color w:val="262626" w:themeColor="text1" w:themeTint="D9"/>
                                <w:sz w:val="26"/>
                                <w:szCs w:val="26"/>
                              </w:rPr>
                            </w:pPr>
                            <w:r w:rsidRPr="00A07662">
                              <w:rPr>
                                <w:rFonts w:ascii="Arial" w:hAnsi="Arial" w:cs="Arial"/>
                                <w:color w:val="262626" w:themeColor="text1" w:themeTint="D9"/>
                                <w:sz w:val="26"/>
                                <w:szCs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9AE9" id="Rectangle 15" o:spid="_x0000_s1033" style="position:absolute;left:0;text-align:left;margin-left:125.75pt;margin-top:224.2pt;width:32.6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" filled="f" stroked="f" strokeweight="2pt">
                <v:textbox>
                  <w:txbxContent>
                    <w:p w14:paraId="5553594F" w14:textId="77777777" w:rsidR="00A07662" w:rsidRPr="00A07662" w:rsidRDefault="00A07662" w:rsidP="00A07662">
                      <w:pPr>
                        <w:jc w:val="center"/>
                        <w:rPr>
                          <w:rFonts w:ascii="Arial" w:hAnsi="Arial" w:cs="Arial"/>
                          <w:color w:val="262626" w:themeColor="text1" w:themeTint="D9"/>
                          <w:sz w:val="26"/>
                          <w:szCs w:val="26"/>
                        </w:rPr>
                      </w:pPr>
                      <w:r w:rsidRPr="00A07662">
                        <w:rPr>
                          <w:rFonts w:ascii="Arial" w:hAnsi="Arial" w:cs="Arial"/>
                          <w:color w:val="262626" w:themeColor="text1" w:themeTint="D9"/>
                          <w:sz w:val="26"/>
                          <w:szCs w:val="26"/>
                        </w:rPr>
                        <w:t>10</w:t>
                      </w:r>
                    </w:p>
                  </w:txbxContent>
                </v:textbox>
              </v:rect>
            </w:pict>
          </mc:Fallback>
        </mc:AlternateContent>
      </w:r>
      <w:r>
        <w:rPr>
          <w:rFonts w:ascii="Times" w:hAnsi="Times" w:cs="Times"/>
          <w:noProof/>
          <w:lang w:val="en-SG" w:eastAsia="en-SG"/>
        </w:rPr>
        <mc:AlternateContent>
          <mc:Choice Requires="wps">
            <w:drawing>
              <wp:anchor distT="0" distB="0" distL="114300" distR="114300" simplePos="0" relativeHeight="251666432" behindDoc="0" locked="0" layoutInCell="1" allowOverlap="1" wp14:anchorId="146EB065" wp14:editId="495B8703">
                <wp:simplePos x="0" y="0"/>
                <wp:positionH relativeFrom="column">
                  <wp:posOffset>1725295</wp:posOffset>
                </wp:positionH>
                <wp:positionV relativeFrom="paragraph">
                  <wp:posOffset>2922270</wp:posOffset>
                </wp:positionV>
                <wp:extent cx="212652" cy="276225"/>
                <wp:effectExtent l="0" t="0" r="3810" b="3175"/>
                <wp:wrapNone/>
                <wp:docPr id="17" name="Rectangle 17"/>
                <wp:cNvGraphicFramePr/>
                <a:graphic xmlns:a="http://schemas.openxmlformats.org/drawingml/2006/main">
                  <a:graphicData uri="http://schemas.microsoft.com/office/word/2010/wordprocessingShape">
                    <wps:wsp>
                      <wps:cNvSpPr/>
                      <wps:spPr>
                        <a:xfrm>
                          <a:off x="0" y="0"/>
                          <a:ext cx="212652"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4FCDD" w14:textId="77777777" w:rsidR="00A07662" w:rsidRPr="00A62D64" w:rsidRDefault="00A07662" w:rsidP="00A07662">
                            <w:pPr>
                              <w:jc w:val="center"/>
                              <w:rPr>
                                <w:rFonts w:ascii="Calibri" w:hAnsi="Calibri" w:cs="Calibr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EB065" id="Rectangle 17" o:spid="_x0000_s1034" style="position:absolute;left:0;text-align:left;margin-left:135.85pt;margin-top:230.1pt;width:16.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" fillcolor="white [3212]" stroked="f" strokeweight="2pt">
                <v:textbox>
                  <w:txbxContent>
                    <w:p w14:paraId="3254FCDD" w14:textId="77777777" w:rsidR="00A07662" w:rsidRPr="00A62D64" w:rsidRDefault="00A07662" w:rsidP="00A07662">
                      <w:pPr>
                        <w:jc w:val="center"/>
                        <w:rPr>
                          <w:rFonts w:ascii="Calibri" w:hAnsi="Calibri" w:cs="Calibri"/>
                          <w:color w:val="262626" w:themeColor="text1" w:themeTint="D9"/>
                          <w:sz w:val="28"/>
                          <w:szCs w:val="28"/>
                        </w:rPr>
                      </w:pPr>
                    </w:p>
                  </w:txbxContent>
                </v:textbox>
              </v:rect>
            </w:pict>
          </mc:Fallback>
        </mc:AlternateContent>
      </w:r>
      <w:r w:rsidR="00A62D64">
        <w:rPr>
          <w:rFonts w:ascii="Times" w:hAnsi="Times" w:cs="Times"/>
          <w:noProof/>
          <w:lang w:val="en-SG" w:eastAsia="en-SG"/>
        </w:rPr>
        <mc:AlternateContent>
          <mc:Choice Requires="wps">
            <w:drawing>
              <wp:anchor distT="0" distB="0" distL="114300" distR="114300" simplePos="0" relativeHeight="251660288" behindDoc="0" locked="0" layoutInCell="1" allowOverlap="1" wp14:anchorId="3577B944" wp14:editId="267CB65A">
                <wp:simplePos x="0" y="0"/>
                <wp:positionH relativeFrom="column">
                  <wp:posOffset>1722475</wp:posOffset>
                </wp:positionH>
                <wp:positionV relativeFrom="paragraph">
                  <wp:posOffset>676231</wp:posOffset>
                </wp:positionV>
                <wp:extent cx="212652" cy="276225"/>
                <wp:effectExtent l="0" t="0" r="3810" b="3175"/>
                <wp:wrapNone/>
                <wp:docPr id="12" name="Rectangle 12"/>
                <wp:cNvGraphicFramePr/>
                <a:graphic xmlns:a="http://schemas.openxmlformats.org/drawingml/2006/main">
                  <a:graphicData uri="http://schemas.microsoft.com/office/word/2010/wordprocessingShape">
                    <wps:wsp>
                      <wps:cNvSpPr/>
                      <wps:spPr>
                        <a:xfrm>
                          <a:off x="0" y="0"/>
                          <a:ext cx="212652"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5E976" w14:textId="02F41172" w:rsidR="00A62D64" w:rsidRPr="00A62D64" w:rsidRDefault="00A62D64" w:rsidP="00A62D64">
                            <w:pPr>
                              <w:jc w:val="center"/>
                              <w:rPr>
                                <w:rFonts w:ascii="Calibri" w:hAnsi="Calibri" w:cs="Calibr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7B944" id="Rectangle 12" o:spid="_x0000_s1035" style="position:absolute;left:0;text-align:left;margin-left:135.65pt;margin-top:53.25pt;width:16.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" fillcolor="white [3212]" stroked="f" strokeweight="2pt">
                <v:textbox>
                  <w:txbxContent>
                    <w:p w14:paraId="27C5E976" w14:textId="02F41172" w:rsidR="00A62D64" w:rsidRPr="00A62D64" w:rsidRDefault="00A62D64" w:rsidP="00A62D64">
                      <w:pPr>
                        <w:jc w:val="center"/>
                        <w:rPr>
                          <w:rFonts w:ascii="Calibri" w:hAnsi="Calibri" w:cs="Calibri"/>
                          <w:color w:val="262626" w:themeColor="text1" w:themeTint="D9"/>
                          <w:sz w:val="28"/>
                          <w:szCs w:val="28"/>
                        </w:rPr>
                      </w:pPr>
                    </w:p>
                  </w:txbxContent>
                </v:textbox>
              </v:rect>
            </w:pict>
          </mc:Fallback>
        </mc:AlternateContent>
      </w:r>
      <w:r w:rsidR="00864A5F" w:rsidRPr="00CD2259">
        <w:rPr>
          <w:rFonts w:ascii="Times" w:hAnsi="Times" w:cs="Times"/>
          <w:noProof/>
          <w:lang w:val="en-SG" w:eastAsia="en-SG"/>
        </w:rPr>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02C49946" w:rsidR="00752B09" w:rsidRPr="00CD2259" w:rsidRDefault="00752B09" w:rsidP="00864A5F">
      <w:pPr>
        <w:pStyle w:val="Caption"/>
        <w:jc w:val="center"/>
        <w:rPr>
          <w:rFonts w:ascii="Times" w:hAnsi="Times" w:cs="Times"/>
        </w:rPr>
      </w:pPr>
      <w:bookmarkStart w:id="6" w:name="_Ref94023284"/>
      <w:r w:rsidRPr="00CD2259">
        <w:rPr>
          <w:rFonts w:ascii="Times" w:hAnsi="Times" w:cs="Times"/>
        </w:rPr>
        <w:t xml:space="preserve">Figure </w:t>
      </w:r>
      <w:bookmarkEnd w:id="6"/>
      <w:r w:rsidR="00174271">
        <w:rPr>
          <w:rFonts w:ascii="Times" w:hAnsi="Times" w:cs="Times"/>
        </w:rPr>
        <w:t>7</w:t>
      </w:r>
      <w:r w:rsidRPr="00CD2259">
        <w:rPr>
          <w:rFonts w:ascii="Times" w:hAnsi="Times" w:cs="Times"/>
        </w:rPr>
        <w:t>: Topic Visualization using a Bubble map and the corresponding top 30 terms in each topic</w:t>
      </w:r>
    </w:p>
    <w:p w14:paraId="132F6F0A" w14:textId="77777777" w:rsidR="00752B09" w:rsidRPr="00CD2259" w:rsidRDefault="00752B09" w:rsidP="00752B09">
      <w:pPr>
        <w:rPr>
          <w:rFonts w:ascii="Times" w:hAnsi="Times" w:cs="Times"/>
        </w:rPr>
      </w:pPr>
    </w:p>
    <w:p w14:paraId="1DC389DC" w14:textId="6C69F235"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NNMF is useful as it </w:t>
      </w:r>
      <w:proofErr w:type="gramStart"/>
      <w:r w:rsidR="007E0D9B" w:rsidRPr="00CD2259">
        <w:rPr>
          <w:rFonts w:ascii="Times" w:eastAsia="Times New Roman" w:hAnsi="Times" w:cs="Times"/>
          <w:sz w:val="24"/>
          <w:szCs w:val="24"/>
        </w:rPr>
        <w:t>is able</w:t>
      </w:r>
      <w:r w:rsidRPr="00CD2259">
        <w:rPr>
          <w:rFonts w:ascii="Times" w:eastAsia="Times New Roman" w:hAnsi="Times" w:cs="Times"/>
          <w:sz w:val="24"/>
          <w:szCs w:val="24"/>
        </w:rPr>
        <w:t xml:space="preserve"> to</w:t>
      </w:r>
      <w:proofErr w:type="gramEnd"/>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(Mifrah &amp; Benlahmar, 2020)</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244349"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495E0DFF" w14:textId="77777777"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384BD850" w14:textId="77777777" w:rsidR="002E05BE" w:rsidRPr="00CD2259" w:rsidRDefault="002E05BE" w:rsidP="002E05BE">
      <w:pPr>
        <w:jc w:val="both"/>
        <w:rPr>
          <w:rFonts w:ascii="Times" w:eastAsia="Times New Roman" w:hAnsi="Times" w:cs="Times"/>
          <w:bCs/>
          <w:sz w:val="24"/>
          <w:szCs w:val="24"/>
        </w:rPr>
      </w:pPr>
    </w:p>
    <w:p w14:paraId="50B64563" w14:textId="385BDD07"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xml:space="preserve">, the algorithm has determined that despite the former having a much lower word count, its </w:t>
      </w:r>
      <w:r w:rsidR="00633972" w:rsidRPr="00633972">
        <w:rPr>
          <w:rFonts w:ascii="Times" w:eastAsia="Times New Roman" w:hAnsi="Times" w:cs="Times"/>
          <w:bCs/>
          <w:sz w:val="24"/>
          <w:szCs w:val="24"/>
        </w:rPr>
        <w:lastRenderedPageBreak/>
        <w:t>importance is greater (</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73B38AD" w14:textId="0AE19D56" w:rsidR="00174271" w:rsidRDefault="00174271" w:rsidP="002B09D6">
      <w:pPr>
        <w:jc w:val="both"/>
        <w:rPr>
          <w:rFonts w:ascii="Times" w:eastAsia="Times New Roman" w:hAnsi="Times" w:cs="Times"/>
          <w:bCs/>
          <w:sz w:val="24"/>
          <w:szCs w:val="24"/>
        </w:rPr>
      </w:pPr>
    </w:p>
    <w:p w14:paraId="0C5D9D06" w14:textId="3A175F10" w:rsidR="00174271" w:rsidRDefault="00174271" w:rsidP="002B09D6">
      <w:pPr>
        <w:jc w:val="both"/>
        <w:rPr>
          <w:rFonts w:ascii="Times" w:eastAsia="Times New Roman" w:hAnsi="Times" w:cs="Times"/>
          <w:bCs/>
          <w:sz w:val="24"/>
          <w:szCs w:val="24"/>
        </w:rPr>
      </w:pPr>
      <w:r>
        <w:rPr>
          <w:rFonts w:ascii="Times" w:eastAsia="Times New Roman" w:hAnsi="Times" w:cs="Times"/>
          <w:bCs/>
          <w:sz w:val="24"/>
          <w:szCs w:val="24"/>
        </w:rPr>
        <w:t xml:space="preserve">Notably, the topic number is assigned randomly in each model, thus results from topic 0 in Mallet is not related to topic 0 results from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w:t>
      </w:r>
    </w:p>
    <w:p w14:paraId="79A38321" w14:textId="682179CA" w:rsidR="00A20A3F" w:rsidRDefault="00174271" w:rsidP="00A20A3F">
      <w:pPr>
        <w:jc w:val="center"/>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5F07FD92" wp14:editId="67D5199C">
            <wp:extent cx="3924300" cy="26035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1"/>
                    <a:stretch>
                      <a:fillRect/>
                    </a:stretch>
                  </pic:blipFill>
                  <pic:spPr>
                    <a:xfrm>
                      <a:off x="0" y="0"/>
                      <a:ext cx="3924300" cy="2603500"/>
                    </a:xfrm>
                    <a:prstGeom prst="rect">
                      <a:avLst/>
                    </a:prstGeom>
                  </pic:spPr>
                </pic:pic>
              </a:graphicData>
            </a:graphic>
          </wp:inline>
        </w:drawing>
      </w:r>
    </w:p>
    <w:p w14:paraId="576F8750" w14:textId="006D0D71" w:rsidR="00681B1D" w:rsidRPr="00681B1D" w:rsidRDefault="00A20A3F" w:rsidP="00681B1D">
      <w:pPr>
        <w:pStyle w:val="Caption"/>
        <w:jc w:val="center"/>
        <w:rPr>
          <w:sz w:val="16"/>
          <w:szCs w:val="16"/>
        </w:rPr>
      </w:pPr>
      <w:bookmarkStart w:id="7"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6</w:t>
      </w:r>
      <w:r w:rsidRPr="00CD2259">
        <w:rPr>
          <w:rFonts w:ascii="Times" w:hAnsi="Times" w:cs="Times"/>
        </w:rPr>
        <w:fldChar w:fldCharType="end"/>
      </w:r>
      <w:bookmarkEnd w:id="7"/>
      <w:r w:rsidRPr="00CD2259">
        <w:rPr>
          <w:rFonts w:ascii="Times" w:hAnsi="Times" w:cs="Times"/>
        </w:rPr>
        <w:t xml:space="preserve">: </w:t>
      </w:r>
      <w:r w:rsidR="00633972">
        <w:rPr>
          <w:sz w:val="16"/>
          <w:szCs w:val="16"/>
        </w:rPr>
        <w:t>Weightage and frequency of top 10 words in Topic 1</w:t>
      </w:r>
      <w:r w:rsidR="00681B1D">
        <w:rPr>
          <w:sz w:val="16"/>
          <w:szCs w:val="16"/>
        </w:rPr>
        <w:t xml:space="preserve"> – </w:t>
      </w:r>
      <w:proofErr w:type="spellStart"/>
      <w:r w:rsidR="00681B1D">
        <w:rPr>
          <w:sz w:val="16"/>
          <w:szCs w:val="16"/>
        </w:rPr>
        <w:t>Gensim</w:t>
      </w:r>
      <w:proofErr w:type="spellEnd"/>
      <w:r w:rsidR="00681B1D">
        <w:rPr>
          <w:sz w:val="16"/>
          <w:szCs w:val="16"/>
        </w:rPr>
        <w:t xml:space="preserve"> </w:t>
      </w:r>
    </w:p>
    <w:p w14:paraId="0D84923F" w14:textId="2F8A0D41" w:rsidR="00A20A3F" w:rsidRDefault="00174271" w:rsidP="00033E9F">
      <w:pPr>
        <w:jc w:val="center"/>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5E2B5146" wp14:editId="65CDA825">
            <wp:extent cx="3854569" cy="2533880"/>
            <wp:effectExtent l="0" t="0" r="0" b="635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2"/>
                    <a:stretch>
                      <a:fillRect/>
                    </a:stretch>
                  </pic:blipFill>
                  <pic:spPr>
                    <a:xfrm>
                      <a:off x="0" y="0"/>
                      <a:ext cx="3862208" cy="2538901"/>
                    </a:xfrm>
                    <a:prstGeom prst="rect">
                      <a:avLst/>
                    </a:prstGeom>
                  </pic:spPr>
                </pic:pic>
              </a:graphicData>
            </a:graphic>
          </wp:inline>
        </w:drawing>
      </w:r>
    </w:p>
    <w:p w14:paraId="3528F615" w14:textId="712673A8" w:rsidR="00681B1D" w:rsidRDefault="00681B1D" w:rsidP="00681B1D">
      <w:pPr>
        <w:pStyle w:val="Caption"/>
        <w:jc w:val="center"/>
        <w:rPr>
          <w:sz w:val="16"/>
          <w:szCs w:val="16"/>
        </w:rPr>
      </w:pPr>
      <w:r w:rsidRPr="00CD2259">
        <w:rPr>
          <w:rFonts w:ascii="Times" w:hAnsi="Times" w:cs="Times"/>
        </w:rPr>
        <w:t>Figure</w:t>
      </w:r>
      <w:r w:rsidR="00033E9F">
        <w:rPr>
          <w:rFonts w:ascii="Times" w:hAnsi="Times" w:cs="Times"/>
        </w:rPr>
        <w:t xml:space="preserve"> 7</w:t>
      </w:r>
      <w:r w:rsidRPr="00CD2259">
        <w:rPr>
          <w:rFonts w:ascii="Times" w:hAnsi="Times" w:cs="Times"/>
        </w:rPr>
        <w:t xml:space="preserve">: </w:t>
      </w:r>
      <w:r>
        <w:rPr>
          <w:sz w:val="16"/>
          <w:szCs w:val="16"/>
        </w:rPr>
        <w:t xml:space="preserve">Weightage and frequency of top 10 words in Topic 1 – </w:t>
      </w:r>
      <w:r w:rsidR="00033E9F">
        <w:rPr>
          <w:sz w:val="16"/>
          <w:szCs w:val="16"/>
        </w:rPr>
        <w:t>Mallet</w:t>
      </w:r>
      <w:r>
        <w:rPr>
          <w:sz w:val="16"/>
          <w:szCs w:val="16"/>
        </w:rPr>
        <w:t xml:space="preserve"> LDA</w:t>
      </w:r>
    </w:p>
    <w:p w14:paraId="6B2FE997" w14:textId="74C2E143" w:rsidR="00033E9F" w:rsidRDefault="009F3EC9" w:rsidP="00174271">
      <w:pPr>
        <w:jc w:val="center"/>
      </w:pPr>
      <w:r>
        <w:rPr>
          <w:noProof/>
        </w:rPr>
        <w:lastRenderedPageBreak/>
        <w:drawing>
          <wp:inline distT="0" distB="0" distL="0" distR="0" wp14:anchorId="19D027EB" wp14:editId="7223226F">
            <wp:extent cx="3827824" cy="236826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3"/>
                    <a:stretch>
                      <a:fillRect/>
                    </a:stretch>
                  </pic:blipFill>
                  <pic:spPr>
                    <a:xfrm>
                      <a:off x="0" y="0"/>
                      <a:ext cx="3865594" cy="2391629"/>
                    </a:xfrm>
                    <a:prstGeom prst="rect">
                      <a:avLst/>
                    </a:prstGeom>
                  </pic:spPr>
                </pic:pic>
              </a:graphicData>
            </a:graphic>
          </wp:inline>
        </w:drawing>
      </w:r>
    </w:p>
    <w:p w14:paraId="15098E6F" w14:textId="0C40B93A" w:rsidR="009F3EC9" w:rsidRDefault="009F3EC9" w:rsidP="009F3EC9">
      <w:pPr>
        <w:pStyle w:val="Caption"/>
        <w:jc w:val="center"/>
        <w:rPr>
          <w:sz w:val="16"/>
          <w:szCs w:val="16"/>
        </w:rPr>
      </w:pPr>
      <w:r w:rsidRPr="00CD2259">
        <w:rPr>
          <w:rFonts w:ascii="Times" w:hAnsi="Times" w:cs="Times"/>
        </w:rPr>
        <w:t>Figure</w:t>
      </w:r>
      <w:r>
        <w:rPr>
          <w:rFonts w:ascii="Times" w:hAnsi="Times" w:cs="Times"/>
        </w:rPr>
        <w:t xml:space="preserve"> 7</w:t>
      </w:r>
      <w:r w:rsidRPr="00CD2259">
        <w:rPr>
          <w:rFonts w:ascii="Times" w:hAnsi="Times" w:cs="Times"/>
        </w:rPr>
        <w:t xml:space="preserve">: </w:t>
      </w:r>
      <w:r>
        <w:rPr>
          <w:sz w:val="16"/>
          <w:szCs w:val="16"/>
        </w:rPr>
        <w:t>Weightage and frequency of top 10 words in Topic 1 – NMF</w:t>
      </w:r>
    </w:p>
    <w:p w14:paraId="7348CBBC" w14:textId="77777777" w:rsidR="009F3EC9" w:rsidRPr="00033E9F" w:rsidRDefault="009F3EC9" w:rsidP="00033E9F"/>
    <w:p w14:paraId="03DD0E6E" w14:textId="2D2D34AF" w:rsidR="00681B1D" w:rsidRDefault="00681B1D" w:rsidP="002E05BE">
      <w:pPr>
        <w:jc w:val="both"/>
        <w:rPr>
          <w:rFonts w:ascii="Times" w:eastAsia="Times New Roman" w:hAnsi="Times" w:cs="Times"/>
          <w:bCs/>
          <w:sz w:val="24"/>
          <w:szCs w:val="24"/>
        </w:rPr>
      </w:pPr>
    </w:p>
    <w:p w14:paraId="31EB2765" w14:textId="77777777"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2553237C" w14:textId="77777777" w:rsidR="00A704EE" w:rsidRPr="00CD2259" w:rsidRDefault="00A704EE" w:rsidP="002E05BE">
      <w:pPr>
        <w:jc w:val="both"/>
        <w:rPr>
          <w:rFonts w:ascii="Times" w:eastAsia="Times New Roman" w:hAnsi="Times" w:cs="Times"/>
          <w:bCs/>
          <w:sz w:val="24"/>
          <w:szCs w:val="24"/>
        </w:rPr>
      </w:pPr>
    </w:p>
    <w:p w14:paraId="01852511" w14:textId="777777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w:t>
      </w:r>
      <w:proofErr w:type="spellStart"/>
      <w:r w:rsidR="00A704EE" w:rsidRPr="00CD2259">
        <w:rPr>
          <w:rFonts w:ascii="Times" w:eastAsia="Times New Roman" w:hAnsi="Times" w:cs="Times"/>
          <w:bCs/>
          <w:sz w:val="24"/>
          <w:szCs w:val="24"/>
        </w:rPr>
        <w:t>categorise</w:t>
      </w:r>
      <w:proofErr w:type="spellEnd"/>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6BEBA88F" w14:textId="77777777" w:rsidR="00A704EE" w:rsidRPr="00CD2259" w:rsidRDefault="00A704EE" w:rsidP="002E05BE">
      <w:pPr>
        <w:jc w:val="both"/>
        <w:rPr>
          <w:rFonts w:ascii="Times" w:eastAsia="Times New Roman" w:hAnsi="Times" w:cs="Times"/>
          <w:bCs/>
          <w:sz w:val="24"/>
          <w:szCs w:val="24"/>
        </w:rPr>
      </w:pPr>
    </w:p>
    <w:p w14:paraId="1D31EA58" w14:textId="2414F409" w:rsidR="00174271" w:rsidRDefault="00F736A2" w:rsidP="00174271">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w:t>
      </w:r>
      <w:proofErr w:type="spellStart"/>
      <w:r w:rsidR="00A704EE" w:rsidRPr="00CD2259">
        <w:rPr>
          <w:rFonts w:ascii="Times" w:eastAsia="Times New Roman" w:hAnsi="Times" w:cs="Times"/>
          <w:bCs/>
          <w:sz w:val="24"/>
          <w:szCs w:val="24"/>
        </w:rPr>
        <w:t>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e</w:t>
      </w:r>
      <w:proofErr w:type="spellEnd"/>
      <w:r w:rsidR="00A704EE" w:rsidRPr="00CD2259">
        <w:rPr>
          <w:rFonts w:ascii="Times" w:eastAsia="Times New Roman" w:hAnsi="Times" w:cs="Times"/>
          <w:bCs/>
          <w:sz w:val="24"/>
          <w:szCs w:val="24"/>
        </w:rPr>
        <w:t xml:space="preserv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w:t>
      </w:r>
      <w:proofErr w:type="spellStart"/>
      <w:r w:rsidR="004B5E4F" w:rsidRPr="00CD2259">
        <w:rPr>
          <w:rFonts w:ascii="Times" w:eastAsia="Times New Roman" w:hAnsi="Times" w:cs="Times"/>
          <w:bCs/>
          <w:sz w:val="24"/>
          <w:szCs w:val="24"/>
        </w:rPr>
        <w:t>Generalisation</w:t>
      </w:r>
      <w:proofErr w:type="spellEnd"/>
      <w:r w:rsidR="004B5E4F" w:rsidRPr="00CD2259">
        <w:rPr>
          <w:rFonts w:ascii="Times" w:eastAsia="Times New Roman" w:hAnsi="Times" w:cs="Times"/>
          <w:bCs/>
          <w:sz w:val="24"/>
          <w:szCs w:val="24"/>
        </w:rPr>
        <w:t xml:space="preserve">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r w:rsidR="00174271">
        <w:rPr>
          <w:rFonts w:ascii="Times" w:eastAsia="Times New Roman" w:hAnsi="Times" w:cs="Times"/>
          <w:bCs/>
          <w:sz w:val="24"/>
          <w:szCs w:val="24"/>
        </w:rPr>
        <w:br w:type="page"/>
      </w:r>
    </w:p>
    <w:p w14:paraId="686C9EAF" w14:textId="77777777" w:rsidR="00F65EF7" w:rsidRDefault="00F65EF7" w:rsidP="00FC17B3">
      <w:pPr>
        <w:pStyle w:val="Teaser"/>
        <w:jc w:val="both"/>
        <w:rPr>
          <w:rFonts w:ascii="Times" w:hAnsi="Times" w:cs="Times"/>
          <w:bCs/>
          <w:lang w:val="en-GB"/>
        </w:rPr>
      </w:pPr>
    </w:p>
    <w:p w14:paraId="2B9E9EEC" w14:textId="7425C7BD" w:rsidR="009F3EC9" w:rsidRDefault="00174271" w:rsidP="00FC17B3">
      <w:pPr>
        <w:pStyle w:val="Teaser"/>
        <w:jc w:val="both"/>
        <w:rPr>
          <w:rFonts w:ascii="Times" w:hAnsi="Times" w:cs="Times"/>
          <w:bCs/>
          <w:lang w:val="en-GB"/>
        </w:rPr>
      </w:pPr>
      <w:r w:rsidRPr="00174271">
        <w:rPr>
          <w:rFonts w:ascii="Times" w:hAnsi="Times" w:cs="Times"/>
          <w:bCs/>
          <w:noProof/>
          <w:lang w:val="en-GB"/>
        </w:rPr>
        <w:drawing>
          <wp:inline distT="0" distB="0" distL="0" distR="0" wp14:anchorId="559E2A30" wp14:editId="1408F5CC">
            <wp:extent cx="6678628" cy="7105650"/>
            <wp:effectExtent l="0" t="0" r="190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4"/>
                    <a:stretch>
                      <a:fillRect/>
                    </a:stretch>
                  </pic:blipFill>
                  <pic:spPr>
                    <a:xfrm>
                      <a:off x="0" y="0"/>
                      <a:ext cx="6688981" cy="7116664"/>
                    </a:xfrm>
                    <a:prstGeom prst="rect">
                      <a:avLst/>
                    </a:prstGeom>
                  </pic:spPr>
                </pic:pic>
              </a:graphicData>
            </a:graphic>
          </wp:inline>
        </w:drawing>
      </w:r>
    </w:p>
    <w:p w14:paraId="098EE149" w14:textId="77777777" w:rsidR="00174271" w:rsidRDefault="00174271" w:rsidP="00174271">
      <w:pPr>
        <w:jc w:val="both"/>
        <w:rPr>
          <w:rFonts w:ascii="Times" w:eastAsia="Times New Roman" w:hAnsi="Times" w:cs="Times"/>
          <w:bCs/>
          <w:sz w:val="24"/>
          <w:szCs w:val="24"/>
        </w:rPr>
      </w:pPr>
    </w:p>
    <w:p w14:paraId="49656B8F" w14:textId="77777777" w:rsidR="00174271" w:rsidRPr="00CD2259" w:rsidRDefault="00174271" w:rsidP="00174271">
      <w:pPr>
        <w:pStyle w:val="Caption"/>
        <w:keepNext/>
        <w:jc w:val="center"/>
        <w:rPr>
          <w:rFonts w:ascii="Times" w:eastAsia="Times New Roman" w:hAnsi="Times" w:cs="Times"/>
          <w:bCs/>
          <w:sz w:val="24"/>
          <w:szCs w:val="24"/>
        </w:rPr>
      </w:pPr>
      <w:bookmarkStart w:id="8" w:name="_Ref94886536"/>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8"/>
      <w:r>
        <w:t>:</w:t>
      </w:r>
      <w:r w:rsidRPr="00CD2259">
        <w:rPr>
          <w:rFonts w:ascii="Times" w:hAnsi="Times" w:cs="Times"/>
        </w:rPr>
        <w:t xml:space="preserve"> </w:t>
      </w:r>
      <w:r>
        <w:rPr>
          <w:rFonts w:ascii="Times" w:hAnsi="Times" w:cs="Times"/>
          <w:b/>
          <w:bCs/>
        </w:rPr>
        <w:t xml:space="preserve">Top 10 significand words per algorithm, proposed categorization, </w:t>
      </w:r>
      <w:proofErr w:type="gramStart"/>
      <w:r>
        <w:rPr>
          <w:rFonts w:ascii="Times" w:hAnsi="Times" w:cs="Times"/>
          <w:b/>
          <w:bCs/>
        </w:rPr>
        <w:t>subtopic</w:t>
      </w:r>
      <w:proofErr w:type="gramEnd"/>
      <w:r>
        <w:rPr>
          <w:rFonts w:ascii="Times" w:hAnsi="Times" w:cs="Times"/>
          <w:b/>
          <w:bCs/>
        </w:rPr>
        <w:t xml:space="preserve"> and key concept selection</w:t>
      </w:r>
    </w:p>
    <w:p w14:paraId="3D404C50" w14:textId="386013C7" w:rsidR="00174271" w:rsidRPr="00041E36" w:rsidRDefault="00174271" w:rsidP="00FC17B3">
      <w:pPr>
        <w:pStyle w:val="Teaser"/>
        <w:jc w:val="both"/>
        <w:rPr>
          <w:rFonts w:ascii="Times" w:hAnsi="Times" w:cs="Times"/>
          <w:bCs/>
          <w:highlight w:val="yellow"/>
          <w:lang w:val="en-GB"/>
        </w:rPr>
      </w:pPr>
      <w:r>
        <w:rPr>
          <w:rFonts w:ascii="Times" w:hAnsi="Times" w:cs="Times"/>
          <w:bCs/>
        </w:rPr>
        <w:t>The graphs below also depict the breakdown of the number of articles in each topic.</w:t>
      </w:r>
    </w:p>
    <w:p w14:paraId="78B04701" w14:textId="153D6F02" w:rsidR="009F3EC9" w:rsidRDefault="009F3EC9" w:rsidP="00174271">
      <w:pPr>
        <w:pStyle w:val="Teaser"/>
        <w:jc w:val="center"/>
        <w:rPr>
          <w:rFonts w:ascii="Times" w:hAnsi="Times" w:cs="Times"/>
          <w:bCs/>
          <w:highlight w:val="yellow"/>
        </w:rPr>
      </w:pPr>
      <w:r>
        <w:rPr>
          <w:rFonts w:ascii="Times" w:hAnsi="Times" w:cs="Times"/>
          <w:bCs/>
          <w:noProof/>
        </w:rPr>
        <w:lastRenderedPageBreak/>
        <w:drawing>
          <wp:inline distT="0" distB="0" distL="0" distR="0" wp14:anchorId="05286303" wp14:editId="00E7551A">
            <wp:extent cx="2729021" cy="2625517"/>
            <wp:effectExtent l="0" t="0" r="1905"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5"/>
                    <a:stretch>
                      <a:fillRect/>
                    </a:stretch>
                  </pic:blipFill>
                  <pic:spPr>
                    <a:xfrm>
                      <a:off x="0" y="0"/>
                      <a:ext cx="2751690" cy="2647327"/>
                    </a:xfrm>
                    <a:prstGeom prst="rect">
                      <a:avLst/>
                    </a:prstGeom>
                  </pic:spPr>
                </pic:pic>
              </a:graphicData>
            </a:graphic>
          </wp:inline>
        </w:drawing>
      </w:r>
    </w:p>
    <w:p w14:paraId="70D8602A" w14:textId="2816F9CE" w:rsidR="00174271" w:rsidRPr="00174271" w:rsidRDefault="00174271" w:rsidP="00174271">
      <w:pPr>
        <w:pStyle w:val="Caption"/>
        <w:keepNext/>
        <w:jc w:val="center"/>
        <w:rPr>
          <w:rFonts w:ascii="Times" w:eastAsia="Times New Roman" w:hAnsi="Times" w:cs="Times"/>
          <w:bCs/>
          <w:sz w:val="24"/>
          <w:szCs w:val="24"/>
        </w:rPr>
      </w:pPr>
      <w:r>
        <w:rPr>
          <w:noProof/>
        </w:rPr>
        <w:t>Figure 8</w:t>
      </w:r>
      <w:r>
        <w:t>:</w:t>
      </w:r>
      <w:r w:rsidRPr="00CD2259">
        <w:rPr>
          <w:rFonts w:ascii="Times" w:hAnsi="Times" w:cs="Times"/>
        </w:rPr>
        <w:t xml:space="preserve"> </w:t>
      </w:r>
      <w:r>
        <w:rPr>
          <w:rFonts w:ascii="Times" w:hAnsi="Times" w:cs="Times"/>
          <w:b/>
          <w:bCs/>
        </w:rPr>
        <w:t xml:space="preserve">Number of documents in each topic – LDA </w:t>
      </w:r>
      <w:proofErr w:type="spellStart"/>
      <w:r>
        <w:rPr>
          <w:rFonts w:ascii="Times" w:hAnsi="Times" w:cs="Times"/>
          <w:b/>
          <w:bCs/>
        </w:rPr>
        <w:t>Gensim</w:t>
      </w:r>
      <w:proofErr w:type="spellEnd"/>
    </w:p>
    <w:p w14:paraId="2F5E6DC9" w14:textId="73E140BF" w:rsidR="00174271" w:rsidRDefault="009F3EC9" w:rsidP="00174271">
      <w:pPr>
        <w:pStyle w:val="Teaser"/>
        <w:jc w:val="center"/>
        <w:rPr>
          <w:rFonts w:ascii="Times" w:hAnsi="Times" w:cs="Times"/>
          <w:bCs/>
          <w:highlight w:val="yellow"/>
        </w:rPr>
      </w:pPr>
      <w:r>
        <w:rPr>
          <w:rFonts w:ascii="Times" w:hAnsi="Times" w:cs="Times"/>
          <w:bCs/>
          <w:noProof/>
        </w:rPr>
        <w:drawing>
          <wp:inline distT="0" distB="0" distL="0" distR="0" wp14:anchorId="3CCD38B9" wp14:editId="1F0BF086">
            <wp:extent cx="3095635" cy="2886085"/>
            <wp:effectExtent l="0" t="0" r="317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6"/>
                    <a:stretch>
                      <a:fillRect/>
                    </a:stretch>
                  </pic:blipFill>
                  <pic:spPr>
                    <a:xfrm>
                      <a:off x="0" y="0"/>
                      <a:ext cx="3102004" cy="2892023"/>
                    </a:xfrm>
                    <a:prstGeom prst="rect">
                      <a:avLst/>
                    </a:prstGeom>
                  </pic:spPr>
                </pic:pic>
              </a:graphicData>
            </a:graphic>
          </wp:inline>
        </w:drawing>
      </w:r>
    </w:p>
    <w:p w14:paraId="30A78BEE" w14:textId="4FFF465C" w:rsidR="00174271" w:rsidRDefault="00174271" w:rsidP="00174271">
      <w:pPr>
        <w:pStyle w:val="Caption"/>
        <w:keepNext/>
        <w:jc w:val="center"/>
        <w:rPr>
          <w:rFonts w:ascii="Times" w:hAnsi="Times" w:cs="Times"/>
          <w:b/>
          <w:bCs/>
        </w:rPr>
      </w:pPr>
      <w:r>
        <w:rPr>
          <w:noProof/>
        </w:rPr>
        <w:t>Figure 9</w:t>
      </w:r>
      <w:r>
        <w:t>:</w:t>
      </w:r>
      <w:r w:rsidRPr="00CD2259">
        <w:rPr>
          <w:rFonts w:ascii="Times" w:hAnsi="Times" w:cs="Times"/>
        </w:rPr>
        <w:t xml:space="preserve"> </w:t>
      </w:r>
      <w:r>
        <w:rPr>
          <w:rFonts w:ascii="Times" w:hAnsi="Times" w:cs="Times"/>
          <w:b/>
          <w:bCs/>
        </w:rPr>
        <w:t>Number of documents in each topic – LDA Mallet</w:t>
      </w:r>
    </w:p>
    <w:p w14:paraId="0F3B086C" w14:textId="66BED845" w:rsidR="00174271" w:rsidRDefault="00174271" w:rsidP="00174271"/>
    <w:p w14:paraId="20DCF1FC" w14:textId="405CF198" w:rsidR="00174271" w:rsidRPr="00CD2259" w:rsidRDefault="00174271" w:rsidP="00174271">
      <w:pPr>
        <w:pStyle w:val="Caption"/>
        <w:keepNext/>
        <w:jc w:val="center"/>
        <w:rPr>
          <w:rFonts w:ascii="Times" w:eastAsia="Times New Roman" w:hAnsi="Times" w:cs="Times"/>
          <w:bCs/>
          <w:sz w:val="24"/>
          <w:szCs w:val="24"/>
        </w:rPr>
      </w:pPr>
      <w:r>
        <w:rPr>
          <w:noProof/>
        </w:rPr>
        <w:t>Figure 10</w:t>
      </w:r>
      <w:r>
        <w:t>:</w:t>
      </w:r>
      <w:r w:rsidRPr="00CD2259">
        <w:rPr>
          <w:rFonts w:ascii="Times" w:hAnsi="Times" w:cs="Times"/>
        </w:rPr>
        <w:t xml:space="preserve"> </w:t>
      </w:r>
      <w:r>
        <w:rPr>
          <w:rFonts w:ascii="Times" w:hAnsi="Times" w:cs="Times"/>
          <w:b/>
          <w:bCs/>
        </w:rPr>
        <w:t>Number of documents in each topic – NMF</w:t>
      </w:r>
    </w:p>
    <w:p w14:paraId="427BC262" w14:textId="77777777" w:rsidR="00174271" w:rsidRPr="00174271" w:rsidRDefault="00174271" w:rsidP="00174271"/>
    <w:p w14:paraId="237DDE52" w14:textId="77777777" w:rsidR="00174271" w:rsidRDefault="00174271" w:rsidP="00FC17B3">
      <w:pPr>
        <w:pStyle w:val="Teaser"/>
        <w:jc w:val="both"/>
        <w:rPr>
          <w:rFonts w:ascii="Times" w:hAnsi="Times" w:cs="Times"/>
          <w:bCs/>
          <w:highlight w:val="yellow"/>
        </w:rPr>
      </w:pPr>
    </w:p>
    <w:p w14:paraId="393C15DD" w14:textId="6DB9E82D" w:rsidR="00FC17B3" w:rsidRDefault="00FC17B3" w:rsidP="00FC17B3">
      <w:pPr>
        <w:pStyle w:val="Teaser"/>
        <w:jc w:val="both"/>
        <w:rPr>
          <w:rFonts w:ascii="Times" w:hAnsi="Times" w:cs="Times"/>
          <w:bCs/>
        </w:rPr>
      </w:pPr>
    </w:p>
    <w:p w14:paraId="511F8F28" w14:textId="6BD516D0" w:rsidR="00FC17B3" w:rsidRPr="00BF49EA" w:rsidRDefault="00BF49EA" w:rsidP="009E0415">
      <w:pPr>
        <w:pStyle w:val="Teaser"/>
        <w:jc w:val="both"/>
        <w:rPr>
          <w:rFonts w:ascii="Times" w:hAnsi="Times" w:cs="Times"/>
          <w:bCs/>
        </w:rPr>
      </w:pPr>
      <w:r>
        <w:rPr>
          <w:rFonts w:ascii="Times" w:hAnsi="Times" w:cs="Times"/>
          <w:b/>
        </w:rPr>
        <w:t xml:space="preserve"># with our </w:t>
      </w:r>
      <w:proofErr w:type="gramStart"/>
      <w:r>
        <w:rPr>
          <w:rFonts w:ascii="Times" w:hAnsi="Times" w:cs="Times"/>
          <w:b/>
        </w:rPr>
        <w:t xml:space="preserve">rank </w:t>
      </w:r>
      <w:r>
        <w:rPr>
          <w:rFonts w:ascii="Times" w:hAnsi="Times" w:cs="Times"/>
          <w:bCs/>
        </w:rPr>
        <w:t xml:space="preserve"> score</w:t>
      </w:r>
      <w:proofErr w:type="gramEnd"/>
      <w:r>
        <w:rPr>
          <w:rFonts w:ascii="Times" w:hAnsi="Times" w:cs="Times"/>
          <w:bCs/>
        </w:rPr>
        <w:t xml:space="preserve"> – rank the discussion accordingly</w:t>
      </w:r>
    </w:p>
    <w:p w14:paraId="42C3E37F" w14:textId="2A1097B0"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9" w:name="_Hlk95232215"/>
      <w:r w:rsidR="00917491" w:rsidRPr="00917491">
        <w:rPr>
          <w:rFonts w:ascii="Times" w:hAnsi="Times" w:cs="Times"/>
          <w:bCs/>
        </w:rPr>
        <w:t>Government (Policy)</w:t>
      </w:r>
      <w:bookmarkEnd w:id="9"/>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proofErr w:type="gramStart"/>
      <w:r w:rsidR="008D4C81">
        <w:rPr>
          <w:rFonts w:ascii="Times" w:hAnsi="Times" w:cs="Times"/>
          <w:bCs/>
        </w:rPr>
        <w:t>However</w:t>
      </w:r>
      <w:proofErr w:type="gramEnd"/>
      <w:r w:rsidR="008D4C81">
        <w:rPr>
          <w:rFonts w:ascii="Times" w:hAnsi="Times" w:cs="Times"/>
          <w:bCs/>
        </w:rPr>
        <w:t xml:space="preserve"> the 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6B582E2A" w14:textId="77777777" w:rsidR="00174271" w:rsidRDefault="00174271" w:rsidP="009E0415">
      <w:pPr>
        <w:pStyle w:val="Teaser"/>
        <w:jc w:val="both"/>
        <w:rPr>
          <w:rFonts w:ascii="Times" w:hAnsi="Times" w:cs="Times"/>
          <w:bCs/>
        </w:rPr>
      </w:pPr>
    </w:p>
    <w:p w14:paraId="42B254F2" w14:textId="03065F79" w:rsidR="00D565D0" w:rsidRDefault="00335297" w:rsidP="009E0415">
      <w:pPr>
        <w:pStyle w:val="Teaser"/>
        <w:jc w:val="both"/>
        <w:rPr>
          <w:rFonts w:ascii="Times" w:hAnsi="Times" w:cs="Times"/>
        </w:rPr>
      </w:pPr>
      <w:r w:rsidRPr="00F65EF7">
        <w:rPr>
          <w:rFonts w:ascii="Times" w:hAnsi="Times" w:cs="Times"/>
          <w:b/>
          <w:bCs/>
          <w:i/>
          <w:iCs/>
        </w:rPr>
        <w:lastRenderedPageBreak/>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proofErr w:type="gramStart"/>
      <w:r w:rsidR="00B229D5">
        <w:rPr>
          <w:rFonts w:ascii="Times" w:hAnsi="Times" w:cs="Times"/>
        </w:rPr>
        <w:t>address</w:t>
      </w:r>
      <w:proofErr w:type="gramEnd"/>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104F10" w:rsidRPr="00104F10">
            <w:rPr>
              <w:rFonts w:ascii="Times" w:hAnsi="Times" w:cs="Times"/>
              <w:noProof/>
            </w:rPr>
            <w:t>(International Energy Agency, n.d.)</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2FF12D59" w14:textId="0E4C654D"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104F10" w:rsidRPr="00104F10">
            <w:rPr>
              <w:rFonts w:ascii="Times" w:hAnsi="Times" w:cs="Times"/>
              <w:noProof/>
            </w:rPr>
            <w:t>(Office of Energy Efficiency and Renewable Energy, n.d.; Sundaram, 2016)</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104F10" w:rsidRPr="00104F10">
            <w:rPr>
              <w:rFonts w:ascii="Times" w:hAnsi="Times" w:cs="Times"/>
              <w:noProof/>
            </w:rPr>
            <w:t>(U.S. Department of Energy, 2021; Center for Climate and Energy Solutions., 2021)</w:t>
          </w:r>
          <w:r w:rsidR="00D565D0">
            <w:rPr>
              <w:rFonts w:ascii="Times" w:hAnsi="Times" w:cs="Times"/>
            </w:rPr>
            <w:fldChar w:fldCharType="end"/>
          </w:r>
        </w:sdtContent>
      </w:sdt>
      <w:r w:rsidR="00D565D0" w:rsidRPr="00D565D0">
        <w:rPr>
          <w:rFonts w:ascii="Times" w:hAnsi="Times" w:cs="Times"/>
        </w:rPr>
        <w:t>.</w:t>
      </w:r>
    </w:p>
    <w:p w14:paraId="75F01675" w14:textId="288A11C9"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104F10" w:rsidRPr="00104F10">
            <w:rPr>
              <w:rFonts w:ascii="Times" w:hAnsi="Times" w:cs="Times"/>
              <w:noProof/>
            </w:rPr>
            <w:t>(The Ministry of Energy and Mines of the Lao People’s Democratic Republic, Ministry of Energy of the Kingdom of Thailand, Ministry of Energy, Green Technology and Water of Malaysia, and Ministry of Trade and Industry of the Republic of Singapore, 2014)</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104F10">
            <w:rPr>
              <w:rFonts w:ascii="Times" w:hAnsi="Times" w:cs="Times"/>
              <w:noProof/>
            </w:rPr>
            <w:t xml:space="preserve"> </w:t>
          </w:r>
          <w:r w:rsidR="00104F10" w:rsidRPr="00104F10">
            <w:rPr>
              <w:rFonts w:ascii="Times" w:hAnsi="Times" w:cs="Times"/>
              <w:noProof/>
            </w:rPr>
            <w:t>(Gordonnat &amp; Hunt, 2020)</w:t>
          </w:r>
          <w:r w:rsidR="00C17C6E">
            <w:rPr>
              <w:rFonts w:ascii="Times" w:hAnsi="Times" w:cs="Times"/>
            </w:rPr>
            <w:fldChar w:fldCharType="end"/>
          </w:r>
        </w:sdtContent>
      </w:sdt>
      <w:r w:rsidR="0081093F">
        <w:rPr>
          <w:rFonts w:ascii="Times" w:hAnsi="Times" w:cs="Times"/>
        </w:rPr>
        <w:t>,</w:t>
      </w:r>
      <w:r>
        <w:rPr>
          <w:rFonts w:ascii="Times" w:hAnsi="Times" w:cs="Times"/>
        </w:rPr>
        <w:t xml:space="preserve"> to </w:t>
      </w:r>
      <w:r w:rsidR="0081093F">
        <w:rPr>
          <w:rFonts w:ascii="Times" w:hAnsi="Times" w:cs="Times"/>
        </w:rPr>
        <w:t xml:space="preserve">more local centric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104F10" w:rsidRPr="00104F10">
            <w:rPr>
              <w:rFonts w:ascii="Times" w:hAnsi="Times" w:cs="Times"/>
              <w:noProof/>
            </w:rPr>
            <w:t>(Tan, 2019)</w:t>
          </w:r>
          <w:r w:rsidR="0081093F">
            <w:rPr>
              <w:rFonts w:ascii="Times" w:hAnsi="Times" w:cs="Times"/>
            </w:rPr>
            <w:fldChar w:fldCharType="end"/>
          </w:r>
        </w:sdtContent>
      </w:sdt>
      <w:r>
        <w:rPr>
          <w:rFonts w:ascii="Times" w:hAnsi="Times" w:cs="Times"/>
        </w:rPr>
        <w:t xml:space="preserve">. </w:t>
      </w:r>
      <w:r w:rsidR="0081093F">
        <w:rPr>
          <w:rFonts w:ascii="Times" w:hAnsi="Times" w:cs="Times"/>
        </w:rPr>
        <w:t>In land-scare</w:t>
      </w:r>
      <w:r w:rsidR="00174271">
        <w:rPr>
          <w:rFonts w:ascii="Times" w:hAnsi="Times" w:cs="Times"/>
        </w:rPr>
        <w:t>s</w:t>
      </w:r>
      <w:r w:rsidR="0081093F">
        <w:rPr>
          <w:rFonts w:ascii="Times" w:hAnsi="Times" w:cs="Times"/>
        </w:rPr>
        <w:t xml:space="preserv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9E10E2">
        <w:rPr>
          <w:rFonts w:ascii="Times" w:hAnsi="Times" w:cs="Times"/>
        </w:rPr>
        <w:t>.</w:t>
      </w:r>
      <w:r w:rsidR="00174271">
        <w:rPr>
          <w:rFonts w:ascii="Times" w:hAnsi="Times" w:cs="Times"/>
        </w:rPr>
        <w:t xml:space="preserve"> Power Purchasing Agreement (PPA) are also popular contracts that allow organizations to transition towards solar energy without upfront payments</w:t>
      </w:r>
      <w:r w:rsidR="00F65EF7">
        <w:rPr>
          <w:rFonts w:ascii="Times" w:hAnsi="Times" w:cs="Times"/>
        </w:rPr>
        <w:t>.</w:t>
      </w:r>
      <w:r w:rsidR="00174271">
        <w:rPr>
          <w:rFonts w:ascii="Times" w:hAnsi="Times" w:cs="Times"/>
        </w:rPr>
        <w:t xml:space="preserve"> </w:t>
      </w:r>
      <w:r w:rsidR="00F65EF7">
        <w:rPr>
          <w:rFonts w:ascii="Times" w:hAnsi="Times" w:cs="Times"/>
        </w:rPr>
        <w:t>The agreement entails orga</w:t>
      </w:r>
      <w:r w:rsidR="00174271">
        <w:rPr>
          <w:rFonts w:ascii="Times" w:hAnsi="Times" w:cs="Times"/>
        </w:rPr>
        <w:t xml:space="preserve">nizations lease their rooftops </w:t>
      </w:r>
      <w:r w:rsidR="00F65EF7">
        <w:rPr>
          <w:rFonts w:ascii="Times" w:hAnsi="Times" w:cs="Times"/>
        </w:rPr>
        <w:t xml:space="preserve">and </w:t>
      </w:r>
      <w:r w:rsidR="00174271">
        <w:rPr>
          <w:rFonts w:ascii="Times" w:hAnsi="Times" w:cs="Times"/>
        </w:rPr>
        <w:t>purchase the energy generated at a cheaper price than regular energy. Industry leader, Sembcorp Singapore singed a 25-year PPA with the National Water Agency, PUB to create one the world’s largest floating solar farm in the Tengah Reservoir. Sembcorp also signed PPA</w:t>
      </w:r>
      <w:r w:rsidR="00431FEB">
        <w:rPr>
          <w:rFonts w:ascii="Times" w:hAnsi="Times" w:cs="Times"/>
        </w:rPr>
        <w:t xml:space="preserve"> </w:t>
      </w:r>
      <w:r w:rsidR="00174271">
        <w:rPr>
          <w:rFonts w:ascii="Times" w:hAnsi="Times" w:cs="Times"/>
        </w:rPr>
        <w:t xml:space="preserve">with notable firms like Singapore Airlines to increase their solar-powered energy. Sunseap is also a leading developer that provides zero-cost solar installations through their solar PPAs. Sunseap has secured tenders by Facebook for Housing Development Board (HDB) to increase solar energy usage in public housing </w:t>
      </w:r>
      <w:sdt>
        <w:sdtPr>
          <w:rPr>
            <w:rFonts w:ascii="Times" w:hAnsi="Times" w:cs="Times"/>
          </w:rPr>
          <w:id w:val="138313907"/>
          <w:citation/>
        </w:sdtPr>
        <w:sdtEndPr/>
        <w:sdtContent>
          <w:r w:rsidR="00174271">
            <w:rPr>
              <w:rFonts w:ascii="Times" w:hAnsi="Times" w:cs="Times"/>
            </w:rPr>
            <w:fldChar w:fldCharType="begin"/>
          </w:r>
          <w:r w:rsidR="00174271">
            <w:rPr>
              <w:rFonts w:ascii="Times" w:hAnsi="Times" w:cs="Times"/>
            </w:rPr>
            <w:instrText xml:space="preserve"> CITATION Ale20 \l 1033 </w:instrText>
          </w:r>
          <w:r w:rsidR="00174271">
            <w:rPr>
              <w:rFonts w:ascii="Times" w:hAnsi="Times" w:cs="Times"/>
            </w:rPr>
            <w:fldChar w:fldCharType="separate"/>
          </w:r>
          <w:r w:rsidR="00104F10" w:rsidRPr="00104F10">
            <w:rPr>
              <w:rFonts w:ascii="Times" w:hAnsi="Times" w:cs="Times"/>
              <w:noProof/>
            </w:rPr>
            <w:t>(Alley, 2020)</w:t>
          </w:r>
          <w:r w:rsidR="00174271">
            <w:rPr>
              <w:rFonts w:ascii="Times" w:hAnsi="Times" w:cs="Times"/>
            </w:rPr>
            <w:fldChar w:fldCharType="end"/>
          </w:r>
        </w:sdtContent>
      </w:sdt>
      <w:r w:rsidR="00174271">
        <w:rPr>
          <w:rFonts w:ascii="Times" w:hAnsi="Times" w:cs="Times"/>
        </w:rPr>
        <w:t>.</w:t>
      </w:r>
      <w:r w:rsidR="00F65EF7">
        <w:rPr>
          <w:rFonts w:ascii="Times" w:hAnsi="Times" w:cs="Times"/>
        </w:rPr>
        <w:t xml:space="preserve"> </w:t>
      </w:r>
    </w:p>
    <w:p w14:paraId="382D4037" w14:textId="07C35A95" w:rsidR="00174271" w:rsidRDefault="00FC17B3" w:rsidP="0084087F">
      <w:pPr>
        <w:pStyle w:val="Teaser"/>
        <w:jc w:val="both"/>
        <w:rPr>
          <w:rFonts w:ascii="Times" w:hAnsi="Times" w:cs="Times"/>
        </w:rPr>
      </w:pPr>
      <w:r w:rsidRPr="00174271">
        <w:rPr>
          <w:rFonts w:ascii="Times" w:hAnsi="Times" w:cs="Times"/>
        </w:rPr>
        <w:t xml:space="preserve">The results of the analysis not only pointed to positive involvement of financial support but also the impact of the absence of government financing. Debt-ridden economies, or countries that are dealing with socio-economic crisis will naturally have failed RE initiatives, simply because </w:t>
      </w:r>
      <w:r w:rsidR="00174271" w:rsidRPr="00174271">
        <w:rPr>
          <w:rFonts w:ascii="Times" w:hAnsi="Times" w:cs="Times"/>
        </w:rPr>
        <w:t>green energy</w:t>
      </w:r>
      <w:r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 xml:space="preserve">In Ghana where 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targets.  Even when there are policies present, the ability to execute and review the policy to ensure that the nation meets their objectives is something that hinders development of RE projects.</w:t>
      </w:r>
      <w:r w:rsidR="00174271" w:rsidRPr="00174271">
        <w:rPr>
          <w:rFonts w:ascii="Times" w:hAnsi="Times" w:cs="Times"/>
        </w:rPr>
        <w:t xml:space="preserve"> Subsequently, as investors lose confidence in government’s ability to meet their energy goals, less investments will be</w:t>
      </w:r>
      <w:r w:rsidR="00F65EF7">
        <w:rPr>
          <w:rFonts w:ascii="Times" w:hAnsi="Times" w:cs="Times"/>
        </w:rPr>
        <w:t xml:space="preserve"> </w:t>
      </w:r>
      <w:r w:rsidR="00174271" w:rsidRPr="00174271">
        <w:rPr>
          <w:rFonts w:ascii="Times" w:hAnsi="Times" w:cs="Times"/>
        </w:rPr>
        <w:t>given to the project which leads to failure in hitting RE targets</w:t>
      </w:r>
      <w:commentRangeStart w:id="10"/>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104F10">
            <w:rPr>
              <w:rFonts w:ascii="Times" w:hAnsi="Times" w:cs="Times"/>
              <w:noProof/>
            </w:rPr>
            <w:t xml:space="preserve"> </w:t>
          </w:r>
          <w:r w:rsidR="00104F10" w:rsidRPr="00104F10">
            <w:rPr>
              <w:rFonts w:ascii="Times" w:hAnsi="Times" w:cs="Times"/>
              <w:noProof/>
            </w:rPr>
            <w:t>(AsareObeng-Darko, 2019)</w:t>
          </w:r>
          <w:r w:rsidR="00174271" w:rsidRPr="00174271">
            <w:rPr>
              <w:rFonts w:ascii="Times" w:hAnsi="Times" w:cs="Times"/>
            </w:rPr>
            <w:fldChar w:fldCharType="end"/>
          </w:r>
        </w:sdtContent>
      </w:sdt>
      <w:r w:rsidR="00174271" w:rsidRPr="00174271">
        <w:rPr>
          <w:rFonts w:ascii="Times" w:hAnsi="Times" w:cs="Times"/>
        </w:rPr>
        <w:t xml:space="preserve">. </w:t>
      </w:r>
      <w:commentRangeEnd w:id="10"/>
      <w:r w:rsidR="00104F10">
        <w:rPr>
          <w:rStyle w:val="CommentReference"/>
        </w:rPr>
        <w:commentReference w:id="10"/>
      </w:r>
      <w:r w:rsidR="00174271" w:rsidRPr="00174271">
        <w:rPr>
          <w:rFonts w:ascii="Times" w:hAnsi="Times" w:cs="Times"/>
        </w:rPr>
        <w:t xml:space="preserve">The lack of </w:t>
      </w:r>
      <w:r w:rsidR="00F65EF7">
        <w:rPr>
          <w:rFonts w:ascii="Times" w:hAnsi="Times" w:cs="Times"/>
        </w:rPr>
        <w:t xml:space="preserve">enforcing </w:t>
      </w:r>
      <w:r w:rsidR="00174271" w:rsidRPr="00174271">
        <w:rPr>
          <w:rFonts w:ascii="Times" w:hAnsi="Times" w:cs="Times"/>
        </w:rPr>
        <w:t xml:space="preserve">regulations </w:t>
      </w:r>
      <w:r w:rsidR="00F65EF7" w:rsidRPr="00174271">
        <w:rPr>
          <w:rFonts w:ascii="Times" w:hAnsi="Times" w:cs="Times"/>
        </w:rPr>
        <w:t>is</w:t>
      </w:r>
      <w:r w:rsidR="00174271" w:rsidRPr="00174271">
        <w:rPr>
          <w:rFonts w:ascii="Times" w:hAnsi="Times" w:cs="Times"/>
        </w:rPr>
        <w:t xml:space="preserve"> coupled with the lack of scientific and technical expertise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which</w:t>
      </w:r>
      <w:r w:rsidR="00F65EF7">
        <w:rPr>
          <w:rFonts w:ascii="Times" w:hAnsi="Times" w:cs="Times"/>
        </w:rPr>
        <w:t xml:space="preserve"> all in all</w:t>
      </w:r>
      <w:r w:rsidR="00174271">
        <w:rPr>
          <w:rFonts w:ascii="Times" w:hAnsi="Times" w:cs="Times"/>
        </w:rPr>
        <w:t xml:space="preserve"> contribute</w:t>
      </w:r>
      <w:r w:rsidR="00F65EF7">
        <w:rPr>
          <w:rFonts w:ascii="Times" w:hAnsi="Times" w:cs="Times"/>
        </w:rPr>
        <w:t>s</w:t>
      </w:r>
      <w:r w:rsidR="00174271">
        <w:rPr>
          <w:rFonts w:ascii="Times" w:hAnsi="Times" w:cs="Times"/>
        </w:rPr>
        <w:t xml:space="preserve"> to a</w:t>
      </w:r>
      <w:r w:rsidR="00174271" w:rsidRPr="00174271">
        <w:rPr>
          <w:rFonts w:ascii="Times" w:hAnsi="Times" w:cs="Times"/>
        </w:rPr>
        <w:t xml:space="preserve"> 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104F10" w:rsidRPr="00104F10">
            <w:rPr>
              <w:rFonts w:ascii="Times" w:hAnsi="Times" w:cs="Times"/>
              <w:noProof/>
            </w:rPr>
            <w:t>(Rogers Kipkoech, Takase, &amp; Afrifa, 2022)</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77777777" w:rsidR="00174271" w:rsidRDefault="00174271" w:rsidP="0084087F">
      <w:pPr>
        <w:pStyle w:val="Teaser"/>
        <w:jc w:val="both"/>
        <w:rPr>
          <w:rFonts w:ascii="Times" w:hAnsi="Times" w:cs="Times"/>
        </w:rPr>
      </w:pPr>
    </w:p>
    <w:p w14:paraId="231EE3BB" w14:textId="563AE2C3" w:rsidR="009512E4" w:rsidRDefault="00615B01" w:rsidP="0084087F">
      <w:pPr>
        <w:pStyle w:val="Teaser"/>
        <w:jc w:val="both"/>
        <w:rPr>
          <w:rFonts w:ascii="Times" w:hAnsi="Times" w:cs="Times"/>
        </w:rPr>
      </w:pPr>
      <w:r w:rsidRPr="00F65EF7">
        <w:rPr>
          <w:rFonts w:ascii="Times" w:hAnsi="Times" w:cs="Times"/>
          <w:b/>
          <w:bCs/>
          <w:i/>
        </w:rPr>
        <w:t>Fiscal (Policy/Terms):</w:t>
      </w:r>
      <w:r w:rsidR="00FC17B3">
        <w:rPr>
          <w:rFonts w:ascii="Times" w:hAnsi="Times" w:cs="Times"/>
          <w:i/>
        </w:rPr>
        <w:t xml:space="preserve"> </w:t>
      </w:r>
      <w:r w:rsidR="00FC17B3" w:rsidRPr="00FC17B3">
        <w:rPr>
          <w:rFonts w:ascii="Times" w:hAnsi="Times" w:cs="Times"/>
        </w:rPr>
        <w:t>The topic of “Fiscal (Policy/Terms)”</w:t>
      </w:r>
      <w:r w:rsidR="00FC17B3">
        <w:rPr>
          <w:rFonts w:ascii="Times" w:hAnsi="Times" w:cs="Times"/>
        </w:rPr>
        <w:t xml:space="preserve"> found quite a close correlation with “Government (Policy)” because </w:t>
      </w:r>
      <w:r w:rsidR="00340CC0">
        <w:rPr>
          <w:rFonts w:ascii="Times" w:hAnsi="Times" w:cs="Times"/>
        </w:rPr>
        <w:t>governments</w:t>
      </w:r>
      <w:r w:rsidR="00FC17B3">
        <w:rPr>
          <w:rFonts w:ascii="Times" w:hAnsi="Times" w:cs="Times"/>
        </w:rPr>
        <w:t xml:space="preserve"> provide subsidy as well as regulate </w:t>
      </w:r>
      <w:proofErr w:type="gramStart"/>
      <w:r w:rsidR="00FC17B3">
        <w:rPr>
          <w:rFonts w:ascii="Times" w:hAnsi="Times" w:cs="Times"/>
        </w:rPr>
        <w:t>free-markets</w:t>
      </w:r>
      <w:proofErr w:type="gramEnd"/>
      <w:r w:rsidR="00FC17B3">
        <w:rPr>
          <w:rFonts w:ascii="Times" w:hAnsi="Times" w:cs="Times"/>
        </w:rPr>
        <w:t xml:space="preserve"> in which </w:t>
      </w:r>
      <w:r w:rsidR="00340CC0">
        <w:rPr>
          <w:rFonts w:ascii="Times" w:hAnsi="Times" w:cs="Times"/>
        </w:rPr>
        <w:t>mechanisms</w:t>
      </w:r>
      <w:r w:rsidR="00FC17B3">
        <w:rPr>
          <w:rFonts w:ascii="Times" w:hAnsi="Times" w:cs="Times"/>
        </w:rPr>
        <w:t xml:space="preserve"> like </w:t>
      </w:r>
      <w:r w:rsidR="00FC17B3" w:rsidRPr="00F44D3D">
        <w:rPr>
          <w:rFonts w:ascii="Times" w:hAnsi="Times" w:cs="Times"/>
        </w:rPr>
        <w:t xml:space="preserve">carbon pricing </w:t>
      </w:r>
      <w:r w:rsidR="00AF07E1" w:rsidRPr="00F44D3D">
        <w:rPr>
          <w:rFonts w:ascii="Times" w:hAnsi="Times" w:cs="Times"/>
        </w:rPr>
        <w:t>would operate</w:t>
      </w:r>
      <w:r w:rsidR="00FC17B3" w:rsidRPr="00F44D3D">
        <w:rPr>
          <w:rFonts w:ascii="Times" w:hAnsi="Times" w:cs="Times"/>
        </w:rPr>
        <w:t xml:space="preserve"> </w:t>
      </w:r>
      <w:r w:rsidR="001C6230" w:rsidRPr="00F44D3D">
        <w:rPr>
          <w:rFonts w:ascii="Times" w:hAnsi="Times" w:cs="Times"/>
        </w:rPr>
        <w:t>(London School of Economics and Political Science, 2017).</w:t>
      </w:r>
      <w:r w:rsidR="00AF07E1" w:rsidRPr="00F44D3D">
        <w:rPr>
          <w:rFonts w:ascii="Times" w:hAnsi="Times" w:cs="Times"/>
        </w:rPr>
        <w:t xml:space="preserve"> Our analysis also points to </w:t>
      </w:r>
      <w:r w:rsidR="001C6230" w:rsidRPr="00F44D3D">
        <w:rPr>
          <w:rFonts w:ascii="Times" w:hAnsi="Times" w:cs="Times"/>
        </w:rPr>
        <w:t>polic</w:t>
      </w:r>
      <w:r w:rsidR="00AF07E1" w:rsidRPr="00F44D3D">
        <w:rPr>
          <w:rFonts w:ascii="Times" w:hAnsi="Times" w:cs="Times"/>
        </w:rPr>
        <w:t>y linkages across</w:t>
      </w:r>
      <w:r w:rsidR="001C6230" w:rsidRPr="00F44D3D">
        <w:rPr>
          <w:rFonts w:ascii="Times" w:hAnsi="Times" w:cs="Times"/>
        </w:rPr>
        <w:t xml:space="preserve"> carbon tax, fossil fuel subsidies removal and electricity pricing reforms </w:t>
      </w:r>
      <w:r w:rsidR="00AF07E1" w:rsidRPr="00F44D3D">
        <w:rPr>
          <w:rFonts w:ascii="Times" w:hAnsi="Times" w:cs="Times"/>
        </w:rPr>
        <w:t>as mechanistic ways for</w:t>
      </w:r>
      <w:r w:rsidR="001C6230" w:rsidRPr="00F44D3D">
        <w:rPr>
          <w:rFonts w:ascii="Times" w:hAnsi="Times" w:cs="Times"/>
        </w:rPr>
        <w:t xml:space="preserve"> national energy policies</w:t>
      </w:r>
      <w:r w:rsidR="00AF07E1" w:rsidRPr="00F44D3D">
        <w:rPr>
          <w:rFonts w:ascii="Times" w:hAnsi="Times" w:cs="Times"/>
        </w:rPr>
        <w:t xml:space="preserve"> to pave the way for RE success</w:t>
      </w:r>
      <w:r w:rsidR="001C6230" w:rsidRPr="00F44D3D">
        <w:rPr>
          <w:rFonts w:ascii="Times" w:hAnsi="Times" w:cs="Times"/>
        </w:rPr>
        <w:t xml:space="preserve"> (The World Bank, 2021</w:t>
      </w:r>
      <w:r w:rsidR="00AF07E1" w:rsidRPr="00F44D3D">
        <w:rPr>
          <w:rFonts w:ascii="Times" w:hAnsi="Times" w:cs="Times"/>
        </w:rPr>
        <w:t>, United Nations, 2016</w:t>
      </w:r>
      <w:r w:rsidR="001C6230" w:rsidRPr="00F44D3D">
        <w:rPr>
          <w:rFonts w:ascii="Times" w:hAnsi="Times" w:cs="Times"/>
        </w:rPr>
        <w:t>).</w:t>
      </w:r>
      <w:r w:rsidR="006A5A34">
        <w:rPr>
          <w:rFonts w:ascii="Times" w:hAnsi="Times" w:cs="Times"/>
        </w:rPr>
        <w:t xml:space="preserve"> </w:t>
      </w:r>
      <w:r w:rsidR="00174271">
        <w:rPr>
          <w:rFonts w:ascii="Times" w:hAnsi="Times" w:cs="Times"/>
        </w:rPr>
        <w:t xml:space="preserve">In Singapore, </w:t>
      </w:r>
      <w:r w:rsidR="009512E4">
        <w:rPr>
          <w:rFonts w:ascii="Times" w:hAnsi="Times" w:cs="Times"/>
        </w:rPr>
        <w:t xml:space="preserve">Carbon tax was introduced in 2019 at $5 per </w:t>
      </w:r>
      <w:proofErr w:type="spellStart"/>
      <w:r w:rsidR="009512E4">
        <w:rPr>
          <w:rFonts w:ascii="Times" w:hAnsi="Times" w:cs="Times"/>
        </w:rPr>
        <w:t>tonne</w:t>
      </w:r>
      <w:proofErr w:type="spellEnd"/>
      <w:r w:rsidR="009512E4">
        <w:rPr>
          <w:rFonts w:ascii="Times" w:hAnsi="Times" w:cs="Times"/>
        </w:rPr>
        <w:t xml:space="preserve"> of emissions. During the latest budget, it was announced that taxes will be increased to $25 per </w:t>
      </w:r>
      <w:proofErr w:type="spellStart"/>
      <w:r w:rsidR="009512E4">
        <w:rPr>
          <w:rFonts w:ascii="Times" w:hAnsi="Times" w:cs="Times"/>
        </w:rPr>
        <w:t>tonne</w:t>
      </w:r>
      <w:proofErr w:type="spellEnd"/>
      <w:r w:rsidR="009512E4">
        <w:rPr>
          <w:rFonts w:ascii="Times" w:hAnsi="Times" w:cs="Times"/>
        </w:rPr>
        <w:t xml:space="preserve"> in 2024 and aimed to reach $80 per </w:t>
      </w:r>
      <w:proofErr w:type="spellStart"/>
      <w:r w:rsidR="009512E4">
        <w:rPr>
          <w:rFonts w:ascii="Times" w:hAnsi="Times" w:cs="Times"/>
        </w:rPr>
        <w:t>tonne</w:t>
      </w:r>
      <w:proofErr w:type="spellEnd"/>
      <w:r w:rsidR="009512E4">
        <w:rPr>
          <w:rFonts w:ascii="Times" w:hAnsi="Times" w:cs="Times"/>
        </w:rPr>
        <w:t xml:space="preserve"> in 2030</w:t>
      </w:r>
      <w:r w:rsidR="00FD18B1">
        <w:rPr>
          <w:rFonts w:ascii="Times" w:hAnsi="Times" w:cs="Times"/>
        </w:rPr>
        <w:t xml:space="preserve">. Businesses would also receive a 5% relief of taxable emissions. Singapore also aims to issues up to $35 billion bonds for green projects by 2030 to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104F10" w:rsidRPr="00104F10">
            <w:rPr>
              <w:rFonts w:ascii="Times" w:hAnsi="Times" w:cs="Times"/>
              <w:noProof/>
            </w:rPr>
            <w:t>(Wong, 2022)</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650038">
        <w:rPr>
          <w:rFonts w:ascii="Times" w:hAnsi="Times" w:cs="Times"/>
        </w:rPr>
        <w:t>Singapore is the greenest country in Asia</w:t>
      </w:r>
      <w:r w:rsidR="00650038" w:rsidRPr="00650038">
        <w:rPr>
          <w:rFonts w:ascii="Times" w:hAnsi="Times" w:cs="Times"/>
        </w:rPr>
        <w:t xml:space="preserve"> </w:t>
      </w:r>
      <w:r w:rsidR="0084087F">
        <w:rPr>
          <w:rFonts w:ascii="Times" w:hAnsi="Times" w:cs="Times"/>
        </w:rPr>
        <w:t xml:space="preserve">and is on </w:t>
      </w:r>
      <w:r w:rsidR="00650038">
        <w:rPr>
          <w:rFonts w:ascii="Times" w:hAnsi="Times" w:cs="Times"/>
        </w:rPr>
        <w:t>track to achieving their 2030 emission targets</w:t>
      </w:r>
      <w:r w:rsidR="0084087F">
        <w:rPr>
          <w:rFonts w:ascii="Times" w:hAnsi="Times" w:cs="Times"/>
        </w:rPr>
        <w:t>,</w:t>
      </w:r>
      <w:r w:rsidR="00650038">
        <w:rPr>
          <w:rFonts w:ascii="Times" w:hAnsi="Times" w:cs="Times"/>
        </w:rPr>
        <w:t xml:space="preserve"> </w:t>
      </w:r>
      <w:r w:rsidR="0084087F">
        <w:rPr>
          <w:rFonts w:ascii="Times" w:hAnsi="Times" w:cs="Times"/>
        </w:rPr>
        <w:t>t</w:t>
      </w:r>
      <w:r w:rsidR="00650038">
        <w:rPr>
          <w:rFonts w:ascii="Times" w:hAnsi="Times" w:cs="Times"/>
        </w:rPr>
        <w:t>he</w:t>
      </w:r>
      <w:r w:rsidR="0084087F">
        <w:rPr>
          <w:rFonts w:ascii="Times" w:hAnsi="Times" w:cs="Times"/>
        </w:rPr>
        <w:t>ir</w:t>
      </w:r>
      <w:r w:rsidR="00650038">
        <w:rPr>
          <w:rFonts w:ascii="Times" w:hAnsi="Times" w:cs="Times"/>
        </w:rPr>
        <w:t xml:space="preserve"> policies </w:t>
      </w:r>
      <w:r w:rsidR="00174271">
        <w:rPr>
          <w:rFonts w:ascii="Times" w:hAnsi="Times" w:cs="Times"/>
        </w:rPr>
        <w:t xml:space="preserve">that discourage non-RE energy sources and incentives RE usage </w:t>
      </w:r>
      <w:r w:rsidR="00650038">
        <w:rPr>
          <w:rFonts w:ascii="Times" w:hAnsi="Times" w:cs="Times"/>
        </w:rPr>
        <w:t xml:space="preserve">have </w:t>
      </w:r>
      <w:r w:rsidR="0084087F">
        <w:rPr>
          <w:rFonts w:ascii="Times" w:hAnsi="Times" w:cs="Times"/>
        </w:rPr>
        <w:t xml:space="preserve">gotten them the success. </w:t>
      </w:r>
      <w:r w:rsidR="00174271">
        <w:rPr>
          <w:rFonts w:ascii="Times" w:hAnsi="Times" w:cs="Times"/>
        </w:rPr>
        <w:t xml:space="preserve">Fiscal policies encourage success of RE since capital costs for technology and infrastructure are very high. Hence, PPAs and government financial intervention are crucial as they help with financing RE development. </w:t>
      </w:r>
    </w:p>
    <w:p w14:paraId="31090080" w14:textId="1A4F6296" w:rsidR="00F65EF7" w:rsidRDefault="00F65EF7" w:rsidP="009E0415">
      <w:pPr>
        <w:pStyle w:val="Teaser"/>
        <w:jc w:val="both"/>
        <w:rPr>
          <w:rFonts w:ascii="Times" w:hAnsi="Times" w:cs="Times"/>
        </w:rPr>
      </w:pPr>
      <w:r>
        <w:rPr>
          <w:rFonts w:ascii="Times" w:hAnsi="Times" w:cs="Times"/>
        </w:rPr>
        <w:t xml:space="preserve">In Europe, Feed-in Tariffs (FIT), Feed-in Premiums (FIP), loan guarantees, soft loans, investment grant and tax incentives are key financial schemes for RE development in Europe. FITs have been the most significant positive influence on the development and profitability of photovoltaic solar energy, specifically in Germany, Spain, </w:t>
      </w:r>
      <w:proofErr w:type="gramStart"/>
      <w:r>
        <w:rPr>
          <w:rFonts w:ascii="Times" w:hAnsi="Times" w:cs="Times"/>
        </w:rPr>
        <w:t>Italy</w:t>
      </w:r>
      <w:proofErr w:type="gramEnd"/>
      <w:r>
        <w:rPr>
          <w:rFonts w:ascii="Times" w:hAnsi="Times" w:cs="Times"/>
        </w:rPr>
        <w:t xml:space="preserve"> and France. According to the International Energy Agency (IEA), FITs represent 61% of total subsidies for solar energy technology in Europe </w:t>
      </w:r>
      <w:sdt>
        <w:sdtPr>
          <w:rPr>
            <w:rFonts w:ascii="Times" w:hAnsi="Times" w:cs="Times"/>
          </w:rPr>
          <w:id w:val="147724247"/>
          <w:citation/>
        </w:sdtPr>
        <w:sdtEndPr/>
        <w:sdtContent>
          <w:r>
            <w:rPr>
              <w:rFonts w:ascii="Times" w:hAnsi="Times" w:cs="Times"/>
            </w:rPr>
            <w:fldChar w:fldCharType="begin"/>
          </w:r>
          <w:r>
            <w:rPr>
              <w:rFonts w:ascii="Times" w:hAnsi="Times" w:cs="Times"/>
            </w:rPr>
            <w:instrText xml:space="preserve">CITATION Pat18 \l 1033 </w:instrText>
          </w:r>
          <w:r>
            <w:rPr>
              <w:rFonts w:ascii="Times" w:hAnsi="Times" w:cs="Times"/>
            </w:rPr>
            <w:fldChar w:fldCharType="separate"/>
          </w:r>
          <w:r w:rsidR="00104F10" w:rsidRPr="00104F10">
            <w:rPr>
              <w:rFonts w:ascii="Times" w:hAnsi="Times" w:cs="Times"/>
              <w:noProof/>
            </w:rPr>
            <w:t>(Milanés-Montero , Arroyo-Farrona, &amp; Pérez-Calderón, 2018)</w:t>
          </w:r>
          <w:r>
            <w:rPr>
              <w:rFonts w:ascii="Times" w:hAnsi="Times" w:cs="Times"/>
            </w:rPr>
            <w:fldChar w:fldCharType="end"/>
          </w:r>
        </w:sdtContent>
      </w:sdt>
      <w:r>
        <w:rPr>
          <w:rFonts w:ascii="Times" w:hAnsi="Times" w:cs="Times"/>
        </w:rPr>
        <w:t>. Tariffs are pricing instruments where governments set funding for RE technologies. In a nutshell, these fiscal</w:t>
      </w:r>
      <w:r w:rsidRPr="00F65EF7">
        <w:rPr>
          <w:rFonts w:ascii="Times" w:hAnsi="Times" w:cs="Times"/>
        </w:rPr>
        <w:t xml:space="preserve"> </w:t>
      </w:r>
      <w:r>
        <w:rPr>
          <w:rFonts w:ascii="Times" w:hAnsi="Times" w:cs="Times"/>
        </w:rPr>
        <w:t>regulations</w:t>
      </w:r>
      <w:r w:rsidRPr="00F65EF7">
        <w:rPr>
          <w:rFonts w:ascii="Times" w:hAnsi="Times" w:cs="Times"/>
        </w:rPr>
        <w:t xml:space="preserve"> encourage investment in </w:t>
      </w:r>
      <w:r>
        <w:rPr>
          <w:rFonts w:ascii="Times" w:hAnsi="Times" w:cs="Times"/>
        </w:rPr>
        <w:t>REs</w:t>
      </w:r>
      <w:r w:rsidRPr="00F65EF7">
        <w:rPr>
          <w:rFonts w:ascii="Times" w:hAnsi="Times" w:cs="Times"/>
        </w:rPr>
        <w:t xml:space="preserve"> </w:t>
      </w:r>
      <w:r>
        <w:rPr>
          <w:rFonts w:ascii="Times" w:hAnsi="Times" w:cs="Times"/>
        </w:rPr>
        <w:t>and make adoption more financially manageable.</w:t>
      </w:r>
    </w:p>
    <w:p w14:paraId="684757A2" w14:textId="44F1339A" w:rsidR="00F65EF7" w:rsidRDefault="00F65EF7" w:rsidP="009E0415">
      <w:pPr>
        <w:pStyle w:val="Teaser"/>
        <w:jc w:val="both"/>
        <w:rPr>
          <w:rFonts w:ascii="Times" w:hAnsi="Times" w:cs="Times"/>
        </w:rPr>
      </w:pPr>
      <w:r>
        <w:rPr>
          <w:rFonts w:ascii="Times" w:hAnsi="Times" w:cs="Times"/>
        </w:rPr>
        <w:t xml:space="preserve">The instability of fiscal policies and tariffs or the lack of will cause a reverse effect. In Romania, a change in legislation that introduced a 1.5% property tax on wind turbine infrastructure negatively impacted the wind farm operations and growth of 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104F10" w:rsidRPr="00104F10">
            <w:rPr>
              <w:rFonts w:ascii="Times" w:hAnsi="Times" w:cs="Times"/>
              <w:noProof/>
            </w:rPr>
            <w:t>(Năsulea, 2014)</w:t>
          </w:r>
          <w:r>
            <w:rPr>
              <w:rFonts w:ascii="Times" w:hAnsi="Times" w:cs="Times"/>
            </w:rPr>
            <w:fldChar w:fldCharType="end"/>
          </w:r>
        </w:sdtContent>
      </w:sdt>
      <w:r>
        <w:rPr>
          <w:rFonts w:ascii="Times" w:hAnsi="Times" w:cs="Times"/>
        </w:rPr>
        <w:t xml:space="preserve">. The result of new taxes 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led to devastating impact on further development plans</w:t>
      </w:r>
      <w:r>
        <w:rPr>
          <w:rFonts w:ascii="Times" w:hAnsi="Times" w:cs="Times"/>
        </w:rPr>
        <w:t xml:space="preserve">. In another example, Spain is the second largest producer of wind energy in Europe and the industry was growingly stable due its legislations and regulation.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104F10" w:rsidRPr="00104F10">
            <w:rPr>
              <w:rFonts w:ascii="Times" w:hAnsi="Times" w:cs="Times"/>
              <w:noProof/>
            </w:rPr>
            <w:t>(Bueno-Lorenzo, Ángeles Moreno , &amp; Usaola, 2013)</w:t>
          </w:r>
          <w:r>
            <w:rPr>
              <w:rFonts w:ascii="Times" w:hAnsi="Times" w:cs="Times"/>
            </w:rPr>
            <w:fldChar w:fldCharType="end"/>
          </w:r>
        </w:sdtContent>
      </w:sdt>
      <w:commentRangeStart w:id="11"/>
      <w:commentRangeEnd w:id="11"/>
      <w:r w:rsidR="00104F10">
        <w:rPr>
          <w:rStyle w:val="CommentReference"/>
        </w:rPr>
        <w:commentReference w:id="11"/>
      </w:r>
      <w:r>
        <w:rPr>
          <w:rFonts w:ascii="Times" w:hAnsi="Times" w:cs="Times"/>
        </w:rPr>
        <w:t xml:space="preserve">. </w:t>
      </w:r>
      <w:r w:rsidR="00FB14FE">
        <w:rPr>
          <w:rFonts w:ascii="Times" w:hAnsi="Times" w:cs="Times"/>
        </w:rPr>
        <w:t xml:space="preserve">The financial crisis as well as debt laden Europe forced the government to cut spending on subsidies for RE projects.  </w:t>
      </w:r>
      <w:r>
        <w:rPr>
          <w:rFonts w:ascii="Times" w:hAnsi="Times" w:cs="Times"/>
        </w:rPr>
        <w:t xml:space="preserve">Thus, it is evident that fiscal policies can have both positive and negative implications to the industry. </w:t>
      </w:r>
    </w:p>
    <w:p w14:paraId="511A3FF7" w14:textId="77777777" w:rsidR="00F65EF7" w:rsidRDefault="00F65EF7" w:rsidP="009E0415">
      <w:pPr>
        <w:pStyle w:val="Teaser"/>
        <w:jc w:val="both"/>
        <w:rPr>
          <w:b/>
          <w:bCs/>
          <w:i/>
          <w:iCs/>
        </w:rPr>
      </w:pPr>
    </w:p>
    <w:p w14:paraId="4B87C8AE" w14:textId="646FCC0E" w:rsidR="00174271" w:rsidRDefault="00615B01" w:rsidP="009E0415">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sidR="005B2A61">
        <w:rPr>
          <w:rFonts w:ascii="Times" w:hAnsi="Times" w:cs="Times"/>
          <w:bCs/>
        </w:rPr>
        <w:t>analysed</w:t>
      </w:r>
      <w:proofErr w:type="spellEnd"/>
      <w:r>
        <w:rPr>
          <w:rFonts w:ascii="Times" w:hAnsi="Times" w:cs="Times"/>
          <w:bCs/>
        </w:rPr>
        <w:t xml:space="preserve"> in this study point to community participation </w:t>
      </w:r>
      <w:r w:rsidR="005B2A61">
        <w:rPr>
          <w:rFonts w:ascii="Times" w:hAnsi="Times" w:cs="Times"/>
          <w:bCs/>
        </w:rPr>
        <w:t xml:space="preserve">as gaining prominence in project success. </w:t>
      </w:r>
      <w:r w:rsidR="005B2A61" w:rsidRPr="005B2A61">
        <w:rPr>
          <w:rFonts w:ascii="Times" w:hAnsi="Times" w:cs="Times"/>
          <w:bCs/>
        </w:rPr>
        <w:t xml:space="preserve">Traditional top-down executive-run projects </w:t>
      </w:r>
      <w:r w:rsidR="005B2A61">
        <w:rPr>
          <w:rFonts w:ascii="Times" w:hAnsi="Times" w:cs="Times"/>
          <w:bCs/>
        </w:rPr>
        <w:t>are</w:t>
      </w:r>
      <w:r w:rsidR="005B2A61" w:rsidRPr="005B2A61">
        <w:rPr>
          <w:rFonts w:ascii="Times" w:hAnsi="Times" w:cs="Times"/>
          <w:bCs/>
        </w:rPr>
        <w:t xml:space="preserve"> less effective due to their inability to identify and meet the community’s needs. </w:t>
      </w:r>
      <w:r w:rsidR="00997B10">
        <w:rPr>
          <w:rFonts w:ascii="Times" w:hAnsi="Times" w:cs="Times"/>
          <w:bCs/>
        </w:rPr>
        <w:t>Two examples of how</w:t>
      </w:r>
      <w:r w:rsidR="005B2A61">
        <w:rPr>
          <w:rFonts w:ascii="Times" w:hAnsi="Times" w:cs="Times"/>
          <w:bCs/>
        </w:rPr>
        <w:t xml:space="preserve"> c</w:t>
      </w:r>
      <w:r w:rsidR="005B2A61" w:rsidRPr="005B2A61">
        <w:rPr>
          <w:rFonts w:ascii="Times" w:hAnsi="Times" w:cs="Times"/>
          <w:bCs/>
        </w:rPr>
        <w:t xml:space="preserve">ollaborative approaches </w:t>
      </w:r>
      <w:r w:rsidR="00997B10">
        <w:rPr>
          <w:rFonts w:ascii="Times" w:hAnsi="Times" w:cs="Times"/>
          <w:bCs/>
        </w:rPr>
        <w:t>to</w:t>
      </w:r>
      <w:r w:rsidR="005B2A61" w:rsidRPr="005B2A61">
        <w:rPr>
          <w:rFonts w:ascii="Times" w:hAnsi="Times" w:cs="Times"/>
          <w:bCs/>
        </w:rPr>
        <w:t xml:space="preserve"> decision making </w:t>
      </w:r>
      <w:r w:rsidR="00997B10">
        <w:rPr>
          <w:rFonts w:ascii="Times" w:hAnsi="Times" w:cs="Times"/>
          <w:bCs/>
        </w:rPr>
        <w:t>are</w:t>
      </w:r>
      <w:r w:rsidR="005B2A61" w:rsidRPr="005B2A61">
        <w:rPr>
          <w:rFonts w:ascii="Times" w:hAnsi="Times" w:cs="Times"/>
          <w:bCs/>
        </w:rPr>
        <w:t xml:space="preserve"> effective </w:t>
      </w:r>
      <w:r w:rsidR="00997B10">
        <w:rPr>
          <w:rFonts w:ascii="Times" w:hAnsi="Times" w:cs="Times"/>
          <w:bCs/>
        </w:rPr>
        <w:t>would be from</w:t>
      </w:r>
      <w:r w:rsidR="007268B8">
        <w:rPr>
          <w:rFonts w:ascii="Times" w:hAnsi="Times" w:cs="Times"/>
          <w:bCs/>
        </w:rPr>
        <w:t xml:space="preserve"> </w:t>
      </w:r>
      <w:r w:rsidR="005B2A61" w:rsidRPr="005B2A61">
        <w:rPr>
          <w:rFonts w:ascii="Times" w:hAnsi="Times" w:cs="Times"/>
          <w:bCs/>
        </w:rPr>
        <w:t xml:space="preserve">Nepal </w:t>
      </w:r>
      <w:sdt>
        <w:sdtPr>
          <w:rPr>
            <w:rFonts w:ascii="Times" w:hAnsi="Times" w:cs="Times"/>
            <w:bCs/>
          </w:rPr>
          <w:id w:val="1301341326"/>
          <w:citation/>
        </w:sdtPr>
        <w:sdtEndPr/>
        <w:sdtContent>
          <w:r w:rsidR="0044390F">
            <w:rPr>
              <w:rFonts w:ascii="Times" w:hAnsi="Times" w:cs="Times"/>
              <w:bCs/>
            </w:rPr>
            <w:fldChar w:fldCharType="begin"/>
          </w:r>
          <w:r w:rsidR="0044390F">
            <w:rPr>
              <w:rFonts w:ascii="Times" w:hAnsi="Times" w:cs="Times"/>
              <w:bCs/>
            </w:rPr>
            <w:instrText xml:space="preserve"> CITATION But21 \l 1033 </w:instrText>
          </w:r>
          <w:r w:rsidR="0044390F">
            <w:rPr>
              <w:rFonts w:ascii="Times" w:hAnsi="Times" w:cs="Times"/>
              <w:bCs/>
            </w:rPr>
            <w:fldChar w:fldCharType="separate"/>
          </w:r>
          <w:r w:rsidR="00104F10" w:rsidRPr="00104F10">
            <w:rPr>
              <w:rFonts w:ascii="Times" w:hAnsi="Times" w:cs="Times"/>
              <w:noProof/>
            </w:rPr>
            <w:t>(Butchers, Williamson, &amp; Booker, 2021)</w:t>
          </w:r>
          <w:r w:rsidR="0044390F">
            <w:rPr>
              <w:rFonts w:ascii="Times" w:hAnsi="Times" w:cs="Times"/>
              <w:bCs/>
            </w:rPr>
            <w:fldChar w:fldCharType="end"/>
          </w:r>
        </w:sdtContent>
      </w:sdt>
      <w:r w:rsidR="0044390F">
        <w:rPr>
          <w:rFonts w:ascii="Times" w:hAnsi="Times" w:cs="Times"/>
          <w:bCs/>
        </w:rPr>
        <w:t xml:space="preserve"> </w:t>
      </w:r>
      <w:r w:rsidR="005B2A61" w:rsidRPr="005B2A61">
        <w:rPr>
          <w:rFonts w:ascii="Times" w:hAnsi="Times" w:cs="Times"/>
          <w:bCs/>
        </w:rPr>
        <w:t>and rural areas in Indonesia</w:t>
      </w:r>
      <w:r w:rsidR="003C2385">
        <w:rPr>
          <w:rFonts w:ascii="Times" w:hAnsi="Times" w:cs="Times"/>
          <w:bCs/>
        </w:rPr>
        <w:t xml:space="preserve"> </w:t>
      </w:r>
      <w:sdt>
        <w:sdtPr>
          <w:rPr>
            <w:rFonts w:ascii="Times" w:hAnsi="Times" w:cs="Times"/>
            <w:bCs/>
          </w:rPr>
          <w:id w:val="2140524425"/>
          <w:citation/>
        </w:sdtPr>
        <w:sdtEndPr/>
        <w:sdtContent>
          <w:r w:rsidR="0044390F">
            <w:rPr>
              <w:rFonts w:ascii="Times" w:hAnsi="Times" w:cs="Times"/>
              <w:bCs/>
            </w:rPr>
            <w:fldChar w:fldCharType="begin"/>
          </w:r>
          <w:r w:rsidR="0044390F">
            <w:rPr>
              <w:rFonts w:ascii="Times" w:hAnsi="Times" w:cs="Times"/>
              <w:bCs/>
            </w:rPr>
            <w:instrText xml:space="preserve"> CITATION Her17 \l 1033 </w:instrText>
          </w:r>
          <w:r w:rsidR="0044390F">
            <w:rPr>
              <w:rFonts w:ascii="Times" w:hAnsi="Times" w:cs="Times"/>
              <w:bCs/>
            </w:rPr>
            <w:fldChar w:fldCharType="separate"/>
          </w:r>
          <w:r w:rsidR="00104F10" w:rsidRPr="00104F10">
            <w:rPr>
              <w:rFonts w:ascii="Times" w:hAnsi="Times" w:cs="Times"/>
              <w:noProof/>
            </w:rPr>
            <w:t>(Hermawati &amp; Rosaira, 2017)</w:t>
          </w:r>
          <w:r w:rsidR="0044390F">
            <w:rPr>
              <w:rFonts w:ascii="Times" w:hAnsi="Times" w:cs="Times"/>
              <w:bCs/>
            </w:rPr>
            <w:fldChar w:fldCharType="end"/>
          </w:r>
        </w:sdtContent>
      </w:sdt>
      <w:r w:rsidR="0044390F">
        <w:rPr>
          <w:rFonts w:ascii="Times" w:hAnsi="Times" w:cs="Times"/>
          <w:bCs/>
        </w:rPr>
        <w:t>.</w:t>
      </w:r>
      <w:r w:rsidR="00B229D5">
        <w:rPr>
          <w:rFonts w:ascii="Times" w:hAnsi="Times" w:cs="Times"/>
          <w:bCs/>
        </w:rPr>
        <w:t xml:space="preserve"> In both cases, we learn that </w:t>
      </w:r>
      <w:r w:rsidR="00B229D5" w:rsidRPr="00B229D5">
        <w:rPr>
          <w:rFonts w:ascii="Times" w:hAnsi="Times" w:cs="Times"/>
          <w:bCs/>
        </w:rPr>
        <w:t>active participation and collaboration ha</w:t>
      </w:r>
      <w:r w:rsidR="00B229D5">
        <w:rPr>
          <w:rFonts w:ascii="Times" w:hAnsi="Times" w:cs="Times"/>
          <w:bCs/>
        </w:rPr>
        <w:t xml:space="preserve">s </w:t>
      </w:r>
      <w:r w:rsidR="00B229D5" w:rsidRPr="00B229D5">
        <w:rPr>
          <w:rFonts w:ascii="Times" w:hAnsi="Times" w:cs="Times"/>
          <w:bCs/>
        </w:rPr>
        <w:t>promoted positive engagement</w:t>
      </w:r>
      <w:r w:rsidR="001B39E7">
        <w:rPr>
          <w:rFonts w:ascii="Times" w:hAnsi="Times" w:cs="Times"/>
          <w:bCs/>
        </w:rPr>
        <w:t xml:space="preserve"> (with the authorities and private sector)</w:t>
      </w:r>
      <w:r w:rsidR="00B229D5">
        <w:rPr>
          <w:rFonts w:ascii="Times" w:hAnsi="Times" w:cs="Times"/>
          <w:bCs/>
        </w:rPr>
        <w:t xml:space="preserve">, a </w:t>
      </w:r>
      <w:r w:rsidR="00B229D5" w:rsidRPr="00BB0173">
        <w:rPr>
          <w:color w:val="282829"/>
          <w:shd w:val="clear" w:color="auto" w:fill="FFFFFF"/>
        </w:rPr>
        <w:t xml:space="preserve">greater sense of ownership </w:t>
      </w:r>
      <w:r w:rsidR="00B229D5">
        <w:rPr>
          <w:color w:val="282829"/>
          <w:shd w:val="clear" w:color="auto" w:fill="FFFFFF"/>
        </w:rPr>
        <w:t>from</w:t>
      </w:r>
      <w:r w:rsidR="00B229D5" w:rsidRPr="00BB0173">
        <w:rPr>
          <w:color w:val="282829"/>
          <w:shd w:val="clear" w:color="auto" w:fill="FFFFFF"/>
        </w:rPr>
        <w:t xml:space="preserve"> the community</w:t>
      </w:r>
      <w:r w:rsidR="00B229D5">
        <w:rPr>
          <w:color w:val="282829"/>
          <w:shd w:val="clear" w:color="auto" w:fill="FFFFFF"/>
        </w:rPr>
        <w:t xml:space="preserve"> (</w:t>
      </w:r>
      <w:r w:rsidR="001B39E7">
        <w:rPr>
          <w:color w:val="282829"/>
          <w:shd w:val="clear" w:color="auto" w:fill="FFFFFF"/>
        </w:rPr>
        <w:t xml:space="preserve">resulting in </w:t>
      </w:r>
      <w:r w:rsidR="00B229D5">
        <w:rPr>
          <w:color w:val="282829"/>
          <w:shd w:val="clear" w:color="auto" w:fill="FFFFFF"/>
        </w:rPr>
        <w:t>increasing</w:t>
      </w:r>
      <w:r w:rsidR="00B229D5" w:rsidRPr="00BB0173">
        <w:rPr>
          <w:color w:val="282829"/>
          <w:shd w:val="clear" w:color="auto" w:fill="FFFFFF"/>
        </w:rPr>
        <w:t xml:space="preserve"> acceptance and </w:t>
      </w:r>
      <w:proofErr w:type="spellStart"/>
      <w:r w:rsidR="00B229D5" w:rsidRPr="00BB0173">
        <w:rPr>
          <w:color w:val="282829"/>
          <w:shd w:val="clear" w:color="auto" w:fill="FFFFFF"/>
        </w:rPr>
        <w:t>utilisation</w:t>
      </w:r>
      <w:proofErr w:type="spellEnd"/>
      <w:r w:rsidR="00B229D5" w:rsidRPr="00BB0173">
        <w:rPr>
          <w:color w:val="282829"/>
          <w:shd w:val="clear" w:color="auto" w:fill="FFFFFF"/>
        </w:rPr>
        <w:t xml:space="preserve"> of the solution</w:t>
      </w:r>
      <w:r w:rsidR="00B229D5">
        <w:rPr>
          <w:color w:val="282829"/>
          <w:shd w:val="clear" w:color="auto" w:fill="FFFFFF"/>
        </w:rPr>
        <w:t>)</w:t>
      </w:r>
      <w:r w:rsidR="001B39E7">
        <w:rPr>
          <w:color w:val="282829"/>
          <w:shd w:val="clear" w:color="auto" w:fill="FFFFFF"/>
        </w:rPr>
        <w:t>, improved livelihoods,</w:t>
      </w:r>
      <w:r w:rsidR="00B229D5" w:rsidRPr="00B229D5">
        <w:rPr>
          <w:rFonts w:ascii="Times" w:hAnsi="Times" w:cs="Times"/>
          <w:bCs/>
        </w:rPr>
        <w:t xml:space="preserve"> </w:t>
      </w:r>
      <w:r w:rsidR="00B229D5">
        <w:rPr>
          <w:rFonts w:ascii="Times" w:hAnsi="Times" w:cs="Times"/>
          <w:bCs/>
        </w:rPr>
        <w:t xml:space="preserve">and has provided alternative perspectives (local knowledge) </w:t>
      </w:r>
      <w:r w:rsidR="00B229D5" w:rsidRPr="00B229D5">
        <w:rPr>
          <w:rFonts w:ascii="Times" w:hAnsi="Times" w:cs="Times"/>
          <w:bCs/>
        </w:rPr>
        <w:t xml:space="preserve">which resulted in </w:t>
      </w:r>
      <w:r w:rsidR="00B229D5">
        <w:rPr>
          <w:rFonts w:ascii="Times" w:hAnsi="Times" w:cs="Times"/>
          <w:bCs/>
        </w:rPr>
        <w:t>timely</w:t>
      </w:r>
      <w:r w:rsidR="00B229D5" w:rsidRPr="00B229D5">
        <w:rPr>
          <w:rFonts w:ascii="Times" w:hAnsi="Times" w:cs="Times"/>
          <w:bCs/>
        </w:rPr>
        <w:t xml:space="preserve"> completion of the project</w:t>
      </w:r>
      <w:r w:rsidR="00174271">
        <w:rPr>
          <w:rFonts w:ascii="Times" w:hAnsi="Times" w:cs="Times"/>
          <w:bCs/>
        </w:rPr>
        <w:t xml:space="preserve">. </w:t>
      </w:r>
    </w:p>
    <w:p w14:paraId="1D91533F" w14:textId="34497DFD" w:rsidR="00F71F2A" w:rsidRDefault="00174271" w:rsidP="009E0415">
      <w:pPr>
        <w:pStyle w:val="Teaser"/>
        <w:jc w:val="both"/>
        <w:rPr>
          <w:rFonts w:ascii="Times" w:hAnsi="Times" w:cs="Times"/>
          <w:bCs/>
        </w:rPr>
      </w:pPr>
      <w:r>
        <w:rPr>
          <w:rFonts w:ascii="Times" w:hAnsi="Times" w:cs="Times"/>
          <w:bCs/>
        </w:rPr>
        <w:t xml:space="preserve">On the flip side, many promising renewable energy initiatives are likely to fail due to community approval. in the case of Ontario Canada, the success of wind projects was largely determined by public support, however when stakeholders who believe that their viewpoints have not been </w:t>
      </w:r>
      <w:proofErr w:type="gramStart"/>
      <w:r>
        <w:rPr>
          <w:rFonts w:ascii="Times" w:hAnsi="Times" w:cs="Times"/>
          <w:bCs/>
        </w:rPr>
        <w:t>taken into account</w:t>
      </w:r>
      <w:proofErr w:type="gramEnd"/>
      <w:r>
        <w:rPr>
          <w:rFonts w:ascii="Times" w:hAnsi="Times" w:cs="Times"/>
          <w:bCs/>
        </w:rPr>
        <w:t xml:space="preserve"> usually express strong displeasure to the project. Early public participation in decision-making process also effectively eliminated opposition</w:t>
      </w:r>
      <w:sdt>
        <w:sdtPr>
          <w:rPr>
            <w:rFonts w:ascii="Times" w:hAnsi="Times" w:cs="Times"/>
            <w:bCs/>
          </w:rPr>
          <w:id w:val="799426249"/>
          <w:citation/>
        </w:sdtPr>
        <w:sdtEndPr/>
        <w:sdtContent>
          <w:r>
            <w:rPr>
              <w:rFonts w:ascii="Times" w:hAnsi="Times" w:cs="Times"/>
              <w:bCs/>
            </w:rPr>
            <w:fldChar w:fldCharType="begin"/>
          </w:r>
          <w:r>
            <w:rPr>
              <w:rFonts w:ascii="Times" w:hAnsi="Times" w:cs="Times"/>
              <w:bCs/>
            </w:rPr>
            <w:instrText xml:space="preserve"> CITATION Jam16 \l 1033 </w:instrText>
          </w:r>
          <w:r>
            <w:rPr>
              <w:rFonts w:ascii="Times" w:hAnsi="Times" w:cs="Times"/>
              <w:bCs/>
            </w:rPr>
            <w:fldChar w:fldCharType="separate"/>
          </w:r>
          <w:r w:rsidR="00104F10">
            <w:rPr>
              <w:rFonts w:ascii="Times" w:hAnsi="Times" w:cs="Times"/>
              <w:bCs/>
              <w:noProof/>
            </w:rPr>
            <w:t xml:space="preserve"> </w:t>
          </w:r>
          <w:r w:rsidR="00104F10" w:rsidRPr="00104F10">
            <w:rPr>
              <w:rFonts w:ascii="Times" w:hAnsi="Times" w:cs="Times"/>
              <w:noProof/>
            </w:rPr>
            <w:t>(Jami &amp; Walsh , 2016)</w:t>
          </w:r>
          <w:r>
            <w:rPr>
              <w:rFonts w:ascii="Times" w:hAnsi="Times" w:cs="Times"/>
              <w:bCs/>
            </w:rPr>
            <w:fldChar w:fldCharType="end"/>
          </w:r>
        </w:sdtContent>
      </w:sdt>
      <w:r>
        <w:rPr>
          <w:rFonts w:ascii="Times" w:hAnsi="Times" w:cs="Times"/>
          <w:bCs/>
        </w:rPr>
        <w:t xml:space="preserve">. Less popular biomass energy developments in the UK are also being opposed by the public due to the la perceived risks of a power plant such as unpleasant smells and noise to the local environment, lack of proper communication and understanding of the project and mistrust towards officials. Public acceptance by the local community was key in receiving planning permission. Therefore, it is in all developers interests to include </w:t>
      </w:r>
      <w:r>
        <w:rPr>
          <w:rFonts w:ascii="Times" w:hAnsi="Times" w:cs="Times"/>
          <w:bCs/>
        </w:rPr>
        <w:lastRenderedPageBreak/>
        <w:t xml:space="preserve">the community as one of their </w:t>
      </w:r>
      <w:r w:rsidR="00F65EF7">
        <w:rPr>
          <w:rFonts w:ascii="Times" w:hAnsi="Times" w:cs="Times"/>
          <w:bCs/>
        </w:rPr>
        <w:t xml:space="preserve">crucial </w:t>
      </w:r>
      <w:r>
        <w:rPr>
          <w:rFonts w:ascii="Times" w:hAnsi="Times" w:cs="Times"/>
          <w:bCs/>
        </w:rPr>
        <w:t>stakeho</w:t>
      </w:r>
      <w:r w:rsidR="00F65EF7">
        <w:rPr>
          <w:rFonts w:ascii="Times" w:hAnsi="Times" w:cs="Times"/>
          <w:bCs/>
        </w:rPr>
        <w:t>lders in</w:t>
      </w:r>
      <w:r>
        <w:rPr>
          <w:rFonts w:ascii="Times" w:hAnsi="Times" w:cs="Times"/>
          <w:bCs/>
        </w:rPr>
        <w:t xml:space="preserve"> any development project </w:t>
      </w:r>
      <w:sdt>
        <w:sdtPr>
          <w:rPr>
            <w:rFonts w:ascii="Times" w:hAnsi="Times" w:cs="Times"/>
            <w:bCs/>
          </w:rPr>
          <w:id w:val="1238284167"/>
          <w:citation/>
        </w:sdtPr>
        <w:sdtEndPr/>
        <w:sdtContent>
          <w:r>
            <w:rPr>
              <w:rFonts w:ascii="Times" w:hAnsi="Times" w:cs="Times"/>
              <w:bCs/>
            </w:rPr>
            <w:fldChar w:fldCharType="begin"/>
          </w:r>
          <w:r>
            <w:rPr>
              <w:rFonts w:ascii="Times" w:hAnsi="Times" w:cs="Times"/>
              <w:bCs/>
            </w:rPr>
            <w:instrText xml:space="preserve"> CITATION Upr03 \l 1033 </w:instrText>
          </w:r>
          <w:r>
            <w:rPr>
              <w:rFonts w:ascii="Times" w:hAnsi="Times" w:cs="Times"/>
              <w:bCs/>
            </w:rPr>
            <w:fldChar w:fldCharType="separate"/>
          </w:r>
          <w:r w:rsidR="00104F10" w:rsidRPr="00104F10">
            <w:rPr>
              <w:rFonts w:ascii="Times" w:hAnsi="Times" w:cs="Times"/>
              <w:noProof/>
            </w:rPr>
            <w:t>(Upretia &amp; Horst, 2003)</w:t>
          </w:r>
          <w:r>
            <w:rPr>
              <w:rFonts w:ascii="Times" w:hAnsi="Times" w:cs="Times"/>
              <w:bCs/>
            </w:rPr>
            <w:fldChar w:fldCharType="end"/>
          </w:r>
        </w:sdtContent>
      </w:sdt>
      <w:r>
        <w:rPr>
          <w:rFonts w:ascii="Times" w:hAnsi="Times" w:cs="Times"/>
          <w:bCs/>
        </w:rPr>
        <w:t xml:space="preserve">. Consultations with the community should go beyond a minimal level. Rather, listening, acknowledging, respecting, and valuing the community’s voice will allow developers to identify more appropriate and successful RE ventures </w:t>
      </w:r>
    </w:p>
    <w:p w14:paraId="6B334B0F" w14:textId="77777777" w:rsidR="008D4C81" w:rsidRDefault="008D4C81" w:rsidP="009E0415">
      <w:pPr>
        <w:pStyle w:val="Teaser"/>
        <w:jc w:val="both"/>
        <w:rPr>
          <w:rFonts w:ascii="Times" w:hAnsi="Times" w:cs="Times"/>
        </w:rPr>
      </w:pPr>
    </w:p>
    <w:p w14:paraId="197902C4" w14:textId="59F978FD" w:rsidR="00F44D3D" w:rsidRPr="00F44D3D" w:rsidRDefault="00615B01" w:rsidP="00F44D3D">
      <w:pPr>
        <w:pStyle w:val="Teaser"/>
        <w:jc w:val="both"/>
        <w:rPr>
          <w:rFonts w:ascii="Times" w:hAnsi="Times" w:cs="Times"/>
          <w:bCs/>
        </w:rPr>
      </w:pPr>
      <w:r w:rsidRPr="00F65EF7">
        <w:rPr>
          <w:rFonts w:ascii="Times" w:hAnsi="Times" w:cs="Times"/>
          <w:b/>
          <w:i/>
          <w:iCs/>
        </w:rPr>
        <w:t>Public-Private (</w:t>
      </w:r>
      <w:proofErr w:type="spellStart"/>
      <w:r w:rsidR="00C33B06" w:rsidRPr="00F65EF7">
        <w:rPr>
          <w:rFonts w:ascii="Times" w:hAnsi="Times" w:cs="Times"/>
          <w:b/>
          <w:i/>
          <w:iCs/>
          <w:color w:val="000000"/>
          <w:lang w:val="en-SG" w:eastAsia="en-SG"/>
        </w:rPr>
        <w:t>Corisking</w:t>
      </w:r>
      <w:proofErr w:type="spellEnd"/>
      <w:r w:rsidR="00C33B06" w:rsidRPr="00F65EF7">
        <w:rPr>
          <w:rFonts w:ascii="Times" w:hAnsi="Times" w:cs="Times"/>
          <w:b/>
          <w:i/>
          <w:iCs/>
          <w:color w:val="000000"/>
          <w:lang w:val="en-SG" w:eastAsia="en-SG"/>
        </w:rPr>
        <w:t>/ Perception</w:t>
      </w:r>
      <w:r w:rsidRPr="00F65EF7">
        <w:rPr>
          <w:rFonts w:ascii="Times" w:hAnsi="Times" w:cs="Times"/>
          <w:b/>
          <w:i/>
          <w:iCs/>
        </w:rPr>
        <w:t>):</w:t>
      </w:r>
      <w:r w:rsidR="001B39E7">
        <w:rPr>
          <w:rFonts w:ascii="Times" w:hAnsi="Times" w:cs="Times"/>
          <w:bCs/>
        </w:rPr>
        <w:t xml:space="preserve"> </w:t>
      </w:r>
      <w:r w:rsidR="00C33B06">
        <w:rPr>
          <w:rFonts w:ascii="Times" w:hAnsi="Times" w:cs="Times"/>
          <w:bCs/>
        </w:rPr>
        <w:t>We learnt that this topic</w:t>
      </w:r>
      <w:r w:rsidR="001B39E7">
        <w:rPr>
          <w:rFonts w:ascii="Times" w:hAnsi="Times" w:cs="Times"/>
          <w:bCs/>
        </w:rPr>
        <w:t xml:space="preserve"> can be linked to behavioral finance and decision sciences, where </w:t>
      </w:r>
      <w:r w:rsidR="001B39E7" w:rsidRPr="001B39E7">
        <w:rPr>
          <w:rFonts w:ascii="Times" w:hAnsi="Times" w:cs="Times"/>
          <w:bCs/>
        </w:rPr>
        <w:t xml:space="preserve">perceived impressions towards the </w:t>
      </w:r>
      <w:r w:rsidR="001B39E7">
        <w:rPr>
          <w:rFonts w:ascii="Times" w:hAnsi="Times" w:cs="Times"/>
          <w:bCs/>
        </w:rPr>
        <w:t>RE</w:t>
      </w:r>
      <w:r w:rsidR="001B39E7" w:rsidRPr="001B39E7">
        <w:rPr>
          <w:rFonts w:ascii="Times" w:hAnsi="Times" w:cs="Times"/>
          <w:bCs/>
        </w:rPr>
        <w:t xml:space="preserve"> industry can affect investment decisions.</w:t>
      </w:r>
      <w:r w:rsidR="001B39E7">
        <w:rPr>
          <w:rFonts w:ascii="Times" w:hAnsi="Times" w:cs="Times"/>
          <w:bCs/>
        </w:rPr>
        <w:t xml:space="preserve"> In a way, it is a measure of confidence, be it towards state of technology (present or future), policy bodies, </w:t>
      </w:r>
      <w:r w:rsidR="00C33B06">
        <w:rPr>
          <w:rFonts w:ascii="Times" w:hAnsi="Times" w:cs="Times"/>
          <w:bCs/>
        </w:rPr>
        <w:t>institutions,</w:t>
      </w:r>
      <w:r w:rsidR="001B39E7">
        <w:rPr>
          <w:rFonts w:ascii="Times" w:hAnsi="Times" w:cs="Times"/>
          <w:bCs/>
        </w:rPr>
        <w:t xml:space="preserve"> and investor experience. </w:t>
      </w:r>
      <w:r w:rsidR="00F44D3D">
        <w:rPr>
          <w:rFonts w:ascii="Times" w:hAnsi="Times" w:cs="Times"/>
          <w:bCs/>
        </w:rPr>
        <w:t xml:space="preserve">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sidR="00F44D3D">
            <w:rPr>
              <w:rFonts w:ascii="Times" w:hAnsi="Times" w:cs="Times"/>
              <w:bCs/>
            </w:rPr>
            <w:fldChar w:fldCharType="begin"/>
          </w:r>
          <w:r w:rsidR="00F44D3D">
            <w:rPr>
              <w:rFonts w:ascii="Times" w:hAnsi="Times" w:cs="Times"/>
              <w:bCs/>
            </w:rPr>
            <w:instrText xml:space="preserve">CITATION Bry94 \l 1033 </w:instrText>
          </w:r>
          <w:r w:rsidR="00F44D3D">
            <w:rPr>
              <w:rFonts w:ascii="Times" w:hAnsi="Times" w:cs="Times"/>
              <w:bCs/>
            </w:rPr>
            <w:fldChar w:fldCharType="separate"/>
          </w:r>
          <w:r w:rsidR="00104F10" w:rsidRPr="00104F10">
            <w:rPr>
              <w:rFonts w:ascii="Times" w:hAnsi="Times" w:cs="Times"/>
              <w:noProof/>
            </w:rPr>
            <w:t>(Jones, 1994)</w:t>
          </w:r>
          <w:r w:rsidR="00F44D3D">
            <w:rPr>
              <w:rFonts w:ascii="Times" w:hAnsi="Times" w:cs="Times"/>
              <w:bCs/>
            </w:rPr>
            <w:fldChar w:fldCharType="end"/>
          </w:r>
        </w:sdtContent>
      </w:sdt>
      <w:r w:rsidR="00F44D3D">
        <w:rPr>
          <w:rFonts w:ascii="Times" w:hAnsi="Times" w:cs="Times"/>
          <w:bCs/>
        </w:rPr>
        <w:t xml:space="preserve">. Public and private corporation and alliance can have mutual added value. Private partners can profit and increase brand awareness while public can cut costs and retain quality of services using their expertise and financial abilities </w:t>
      </w:r>
      <w:commentRangeStart w:id="12"/>
      <w:sdt>
        <w:sdtPr>
          <w:rPr>
            <w:rFonts w:ascii="Times" w:hAnsi="Times" w:cs="Times"/>
            <w:bCs/>
          </w:rPr>
          <w:id w:val="842677662"/>
          <w:citation/>
        </w:sdtPr>
        <w:sdtEndPr/>
        <w:sdtContent>
          <w:r w:rsidR="00F44D3D">
            <w:rPr>
              <w:rFonts w:ascii="Times" w:hAnsi="Times" w:cs="Times"/>
              <w:bCs/>
            </w:rPr>
            <w:fldChar w:fldCharType="begin"/>
          </w:r>
          <w:r w:rsidR="00F44D3D">
            <w:rPr>
              <w:rFonts w:ascii="Times" w:hAnsi="Times" w:cs="Times"/>
              <w:bCs/>
            </w:rPr>
            <w:instrText xml:space="preserve"> CITATION Mar11 \l 1033 </w:instrText>
          </w:r>
          <w:r w:rsidR="00F44D3D">
            <w:rPr>
              <w:rFonts w:ascii="Times" w:hAnsi="Times" w:cs="Times"/>
              <w:bCs/>
            </w:rPr>
            <w:fldChar w:fldCharType="separate"/>
          </w:r>
          <w:r w:rsidR="00104F10" w:rsidRPr="00104F10">
            <w:rPr>
              <w:rFonts w:ascii="Times" w:hAnsi="Times" w:cs="Times"/>
              <w:noProof/>
            </w:rPr>
            <w:t>(Martins, Marques, &amp; Cruz, 2011)</w:t>
          </w:r>
          <w:r w:rsidR="00F44D3D">
            <w:rPr>
              <w:rFonts w:ascii="Times" w:hAnsi="Times" w:cs="Times"/>
              <w:bCs/>
            </w:rPr>
            <w:fldChar w:fldCharType="end"/>
          </w:r>
        </w:sdtContent>
      </w:sdt>
      <w:r w:rsidR="00F44D3D">
        <w:rPr>
          <w:rFonts w:ascii="Times" w:hAnsi="Times" w:cs="Times"/>
          <w:bCs/>
        </w:rPr>
        <w:t xml:space="preserve">. </w:t>
      </w:r>
      <w:commentRangeEnd w:id="12"/>
      <w:r w:rsidR="00104F10">
        <w:rPr>
          <w:rStyle w:val="CommentReference"/>
        </w:rPr>
        <w:commentReference w:id="12"/>
      </w:r>
      <w:r w:rsidR="00F44D3D">
        <w:rPr>
          <w:rFonts w:ascii="Times" w:hAnsi="Times" w:cs="Times"/>
          <w:bCs/>
        </w:rPr>
        <w:t xml:space="preserve">Therefore, strong ties between both is key to advancing renewables </w:t>
      </w:r>
      <w:sdt>
        <w:sdtPr>
          <w:rPr>
            <w:rFonts w:ascii="Times" w:hAnsi="Times" w:cs="Times"/>
            <w:bCs/>
          </w:rPr>
          <w:id w:val="1154879950"/>
          <w:citation/>
        </w:sdtPr>
        <w:sdtEndPr/>
        <w:sdtContent>
          <w:r w:rsidR="00F44D3D">
            <w:rPr>
              <w:rFonts w:ascii="Times" w:hAnsi="Times" w:cs="Times"/>
              <w:bCs/>
            </w:rPr>
            <w:fldChar w:fldCharType="begin"/>
          </w:r>
          <w:r w:rsidR="00F44D3D">
            <w:rPr>
              <w:rFonts w:ascii="Times" w:hAnsi="Times" w:cs="Times"/>
              <w:bCs/>
            </w:rPr>
            <w:instrText xml:space="preserve"> CITATION IRE19 \l 1033 </w:instrText>
          </w:r>
          <w:r w:rsidR="00F44D3D">
            <w:rPr>
              <w:rFonts w:ascii="Times" w:hAnsi="Times" w:cs="Times"/>
              <w:bCs/>
            </w:rPr>
            <w:fldChar w:fldCharType="separate"/>
          </w:r>
          <w:r w:rsidR="00104F10" w:rsidRPr="00104F10">
            <w:rPr>
              <w:rFonts w:ascii="Times" w:hAnsi="Times" w:cs="Times"/>
              <w:noProof/>
            </w:rPr>
            <w:t>(IRENA, 2019)</w:t>
          </w:r>
          <w:r w:rsidR="00F44D3D">
            <w:rPr>
              <w:rFonts w:ascii="Times" w:hAnsi="Times" w:cs="Times"/>
              <w:bCs/>
            </w:rPr>
            <w:fldChar w:fldCharType="end"/>
          </w:r>
        </w:sdtContent>
      </w:sdt>
      <w:r w:rsidR="00F44D3D">
        <w:rPr>
          <w:rFonts w:ascii="Times" w:hAnsi="Times" w:cs="Times"/>
          <w:bCs/>
        </w:rPr>
        <w:t xml:space="preserve">.The International Renewable Energy Agency (IRENA) highlighted the need for </w:t>
      </w:r>
      <w:r w:rsidR="00F44D3D"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sidR="00F44D3D">
        <w:rPr>
          <w:rFonts w:ascii="Times" w:hAnsi="Times" w:cs="Times"/>
          <w:bCs/>
        </w:rPr>
        <w:t xml:space="preserve"> </w:t>
      </w:r>
      <w:sdt>
        <w:sdtPr>
          <w:rPr>
            <w:rFonts w:ascii="Times" w:hAnsi="Times" w:cs="Times"/>
            <w:bCs/>
          </w:rPr>
          <w:id w:val="-2091689139"/>
          <w:citation/>
        </w:sdtPr>
        <w:sdtEndPr/>
        <w:sdtContent>
          <w:r w:rsidR="00F44D3D">
            <w:rPr>
              <w:rFonts w:ascii="Times" w:hAnsi="Times" w:cs="Times"/>
              <w:bCs/>
            </w:rPr>
            <w:fldChar w:fldCharType="begin"/>
          </w:r>
          <w:r w:rsidR="00F44D3D">
            <w:rPr>
              <w:rFonts w:ascii="Times" w:hAnsi="Times" w:cs="Times"/>
              <w:bCs/>
            </w:rPr>
            <w:instrText xml:space="preserve"> CITATION IRE19 \l 1033 </w:instrText>
          </w:r>
          <w:r w:rsidR="00F44D3D">
            <w:rPr>
              <w:rFonts w:ascii="Times" w:hAnsi="Times" w:cs="Times"/>
              <w:bCs/>
            </w:rPr>
            <w:fldChar w:fldCharType="separate"/>
          </w:r>
          <w:r w:rsidR="00104F10" w:rsidRPr="00104F10">
            <w:rPr>
              <w:rFonts w:ascii="Times" w:hAnsi="Times" w:cs="Times"/>
              <w:noProof/>
            </w:rPr>
            <w:t>(IRENA, 2019)</w:t>
          </w:r>
          <w:r w:rsidR="00F44D3D">
            <w:rPr>
              <w:rFonts w:ascii="Times" w:hAnsi="Times" w:cs="Times"/>
              <w:bCs/>
            </w:rPr>
            <w:fldChar w:fldCharType="end"/>
          </w:r>
        </w:sdtContent>
      </w:sdt>
      <w:r w:rsidR="00F44D3D" w:rsidRPr="00F44D3D">
        <w:rPr>
          <w:rFonts w:ascii="Times" w:hAnsi="Times" w:cs="Times"/>
          <w:bCs/>
        </w:rPr>
        <w:t>.</w:t>
      </w:r>
      <w:r w:rsidR="00F44D3D">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B2E03CF" w14:textId="221B2CF8" w:rsidR="00F44D3D" w:rsidRDefault="00F44D3D" w:rsidP="00F44D3D">
      <w:pPr>
        <w:pStyle w:val="Teaser"/>
        <w:jc w:val="both"/>
        <w:rPr>
          <w:rFonts w:ascii="Times" w:hAnsi="Times" w:cs="Times"/>
          <w:bCs/>
        </w:rPr>
      </w:pPr>
      <w:r>
        <w:rPr>
          <w:rFonts w:ascii="Times" w:hAnsi="Times" w:cs="Times"/>
          <w:bCs/>
        </w:rPr>
        <w:t xml:space="preserve">Within the context of developing the industry efficiently through building partnerships for the purpose of meeting environmental concerns, Public-private Partnerships (PPP) are popular models for joint projects that facilitate collaboration between public and private sectors. They are long term agreements between both government and private agencies for the provision of public services, in which private sectors carries major project risks and management responsibilities </w:t>
      </w:r>
      <w:sdt>
        <w:sdtPr>
          <w:rPr>
            <w:rFonts w:ascii="Times" w:hAnsi="Times" w:cs="Times"/>
            <w:bCs/>
          </w:rPr>
          <w:id w:val="-615522692"/>
          <w:citation/>
        </w:sdtPr>
        <w:sdtEndPr/>
        <w:sdtContent>
          <w:r>
            <w:rPr>
              <w:rFonts w:ascii="Times" w:hAnsi="Times" w:cs="Times"/>
              <w:bCs/>
            </w:rPr>
            <w:fldChar w:fldCharType="begin"/>
          </w:r>
          <w:r>
            <w:rPr>
              <w:rFonts w:ascii="Times" w:hAnsi="Times" w:cs="Times"/>
              <w:bCs/>
            </w:rPr>
            <w:instrText xml:space="preserve"> CITATION Wor12 \l 1033 </w:instrText>
          </w:r>
          <w:r>
            <w:rPr>
              <w:rFonts w:ascii="Times" w:hAnsi="Times" w:cs="Times"/>
              <w:bCs/>
            </w:rPr>
            <w:fldChar w:fldCharType="separate"/>
          </w:r>
          <w:r w:rsidR="00104F10" w:rsidRPr="00104F10">
            <w:rPr>
              <w:rFonts w:ascii="Times" w:hAnsi="Times" w:cs="Times"/>
              <w:noProof/>
            </w:rPr>
            <w:t>(World Bank, 2012)</w:t>
          </w:r>
          <w:r>
            <w:rPr>
              <w:rFonts w:ascii="Times" w:hAnsi="Times" w:cs="Times"/>
              <w:bCs/>
            </w:rPr>
            <w:fldChar w:fldCharType="end"/>
          </w:r>
        </w:sdtContent>
      </w:sdt>
      <w:r>
        <w:rPr>
          <w:rFonts w:ascii="Times" w:hAnsi="Times" w:cs="Times"/>
          <w:bCs/>
        </w:rPr>
        <w:t>. Typically for RE PPP, private companies are responsible for design, construction, financing, operation management and maintenance while the public sector is responsible for distribution of energy through the national power company. Revenues for the private party must be secured with strong public incentives or policies such as PPA or FITs to ensure their interest to invest. It is reported that in countries such as USA, China, South Africa, and India, where there are active policies that support renewable energy, there is also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104F10" w:rsidRPr="00104F10">
            <w:rPr>
              <w:rFonts w:ascii="Times" w:hAnsi="Times" w:cs="Times"/>
              <w:noProof/>
            </w:rPr>
            <w:t>(Cedrick &amp; Long, 2017)</w:t>
          </w:r>
          <w:r>
            <w:rPr>
              <w:rFonts w:ascii="Times" w:hAnsi="Times" w:cs="Times"/>
              <w:bCs/>
            </w:rPr>
            <w:fldChar w:fldCharType="end"/>
          </w:r>
        </w:sdtContent>
      </w:sdt>
      <w:r>
        <w:rPr>
          <w:rFonts w:ascii="Times" w:hAnsi="Times" w:cs="Times"/>
          <w:bCs/>
        </w:rPr>
        <w:t xml:space="preserve">. This depicts that robust policy can increase confidence of market actors, reduces regulatory </w:t>
      </w:r>
      <w:proofErr w:type="gramStart"/>
      <w:r>
        <w:rPr>
          <w:rFonts w:ascii="Times" w:hAnsi="Times" w:cs="Times"/>
          <w:bCs/>
        </w:rPr>
        <w:t>risks</w:t>
      </w:r>
      <w:proofErr w:type="gramEnd"/>
      <w:r>
        <w:rPr>
          <w:rFonts w:ascii="Times" w:hAnsi="Times" w:cs="Times"/>
          <w:bCs/>
        </w:rPr>
        <w:t xml:space="preserve"> and thus attracts more investors for large RE projects and reduces cost of capital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104F10" w:rsidRPr="00104F10">
            <w:rPr>
              <w:rFonts w:ascii="Times" w:hAnsi="Times" w:cs="Times"/>
              <w:noProof/>
            </w:rPr>
            <w:t>(Jager &amp; Rathmann, 2008)</w:t>
          </w:r>
          <w:r>
            <w:rPr>
              <w:rFonts w:ascii="Times" w:hAnsi="Times" w:cs="Times"/>
              <w:bCs/>
            </w:rPr>
            <w:fldChar w:fldCharType="end"/>
          </w:r>
        </w:sdtContent>
      </w:sdt>
      <w:r>
        <w:rPr>
          <w:rFonts w:ascii="Times" w:hAnsi="Times" w:cs="Times"/>
          <w:bCs/>
        </w:rPr>
        <w:t xml:space="preserve">. </w:t>
      </w:r>
      <w:r w:rsidRPr="00F44D3D">
        <w:rPr>
          <w:rFonts w:ascii="Times" w:hAnsi="Times" w:cs="Times"/>
          <w:noProof/>
        </w:rPr>
        <w:t xml:space="preserve">Langniss, Helby, &amp; Mitchell </w:t>
      </w:r>
      <w:r>
        <w:rPr>
          <w:rFonts w:ascii="Times" w:hAnsi="Times" w:cs="Times"/>
          <w:noProof/>
        </w:rPr>
        <w:t>(</w:t>
      </w:r>
      <w:r w:rsidRPr="00F44D3D">
        <w:rPr>
          <w:rFonts w:ascii="Times" w:hAnsi="Times" w:cs="Times"/>
          <w:noProof/>
        </w:rPr>
        <w:t>1999)</w:t>
      </w:r>
      <w:r>
        <w:rPr>
          <w:rFonts w:ascii="Times" w:hAnsi="Times" w:cs="Times"/>
          <w:bCs/>
        </w:rPr>
        <w:t xml:space="preserve"> adds on to mention that in policy making in that “mitigating risk is certainly an alternative to raising the level of compensation”. Thus, investor perceptions and confidence of the risks involved can be equally important to the financial prospects of a project.</w:t>
      </w:r>
    </w:p>
    <w:p w14:paraId="769593CA" w14:textId="27EC3D63" w:rsidR="00104F10" w:rsidRDefault="00104F10" w:rsidP="00104F10">
      <w:pPr>
        <w:pStyle w:val="Teaser"/>
        <w:jc w:val="both"/>
        <w:rPr>
          <w:rFonts w:ascii="Times" w:hAnsi="Times" w:cs="Times"/>
          <w:bCs/>
        </w:rPr>
      </w:pPr>
      <w:r>
        <w:rPr>
          <w:rFonts w:ascii="Times" w:hAnsi="Times" w:cs="Times"/>
          <w:bCs/>
        </w:rPr>
        <w:t>In the case of Philippines and Indonesia, FIT schemes were deployed at the same time, but Philippines yielded better results of 1,381 MW of installed RE capacity compared to Indonesia with only 36.8 MW within the same period. One of the explanations for this disparity of quality of governance, such as 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Pr>
              <w:rFonts w:ascii="Times" w:hAnsi="Times" w:cs="Times"/>
              <w:bCs/>
              <w:noProof/>
            </w:rPr>
            <w:t xml:space="preserve"> </w:t>
          </w:r>
          <w:r w:rsidRPr="00104F10">
            <w:rPr>
              <w:rFonts w:ascii="Times" w:hAnsi="Times" w:cs="Times"/>
              <w:noProof/>
            </w:rPr>
            <w:t>(World Bank, 2017)</w:t>
          </w:r>
          <w:r>
            <w:rPr>
              <w:rFonts w:ascii="Times" w:hAnsi="Times" w:cs="Times"/>
              <w:bCs/>
            </w:rPr>
            <w:fldChar w:fldCharType="end"/>
          </w:r>
        </w:sdtContent>
      </w:sdt>
      <w:r>
        <w:rPr>
          <w:rFonts w:ascii="Times" w:hAnsi="Times" w:cs="Times"/>
          <w:bCs/>
        </w:rPr>
        <w:t xml:space="preserve"> Philippines performed better because of extensive market-based reforms that privatize a large portion of their power generation, all transmission operations and majority of distribution. The Philippines established an autonomous regulatory agency, the Energy Regulatory Commission, which reduced subsidies but implemented performance-based regulatory mechanisms. The results of privatization and result based industry is growth in investor trust, which boosted their FIT due to better governance and market-friendly regulations. This allowed RE to rise rapidly in Philippines </w:t>
      </w:r>
      <w:sdt>
        <w:sdtPr>
          <w:rPr>
            <w:rFonts w:ascii="Times" w:hAnsi="Times" w:cs="Times"/>
            <w:bCs/>
          </w:rPr>
          <w:id w:val="130908421"/>
          <w:citation/>
        </w:sdtPr>
        <w:sdtEndPr/>
        <w:sdtContent>
          <w:r>
            <w:rPr>
              <w:rFonts w:ascii="Times" w:hAnsi="Times" w:cs="Times"/>
              <w:bCs/>
            </w:rPr>
            <w:fldChar w:fldCharType="begin"/>
          </w:r>
          <w:r>
            <w:rPr>
              <w:rFonts w:ascii="Times" w:hAnsi="Times" w:cs="Times"/>
              <w:bCs/>
            </w:rPr>
            <w:instrText xml:space="preserve"> CITATION Gui19 \l 1033 </w:instrText>
          </w:r>
          <w:r>
            <w:rPr>
              <w:rFonts w:ascii="Times" w:hAnsi="Times" w:cs="Times"/>
              <w:bCs/>
            </w:rPr>
            <w:fldChar w:fldCharType="separate"/>
          </w:r>
          <w:r w:rsidRPr="00104F10">
            <w:rPr>
              <w:rFonts w:ascii="Times" w:hAnsi="Times" w:cs="Times"/>
              <w:noProof/>
            </w:rPr>
            <w:t>(Guild, 2019)</w:t>
          </w:r>
          <w:r>
            <w:rPr>
              <w:rFonts w:ascii="Times" w:hAnsi="Times" w:cs="Times"/>
              <w:bCs/>
            </w:rPr>
            <w:fldChar w:fldCharType="end"/>
          </w:r>
        </w:sdtContent>
      </w:sdt>
      <w:r>
        <w:rPr>
          <w:rFonts w:ascii="Times" w:hAnsi="Times" w:cs="Times"/>
          <w:bCs/>
        </w:rPr>
        <w:t xml:space="preserve">. </w:t>
      </w:r>
    </w:p>
    <w:p w14:paraId="5B89E878" w14:textId="7F164A7A" w:rsidR="00104F10" w:rsidRDefault="00104F10" w:rsidP="00104F10">
      <w:pPr>
        <w:pStyle w:val="Teaser"/>
        <w:jc w:val="both"/>
        <w:rPr>
          <w:rFonts w:ascii="Times" w:hAnsi="Times" w:cs="Times"/>
          <w:bCs/>
        </w:rPr>
      </w:pPr>
      <w:r>
        <w:rPr>
          <w:rFonts w:ascii="Times" w:hAnsi="Times" w:cs="Times"/>
          <w:bCs/>
        </w:rPr>
        <w:t xml:space="preserve">Whereas in Indonesia, the costs of FIT schemes were largely borne by the national utility system, </w:t>
      </w:r>
      <w:proofErr w:type="spellStart"/>
      <w:r>
        <w:rPr>
          <w:rFonts w:ascii="Times" w:hAnsi="Times" w:cs="Times"/>
          <w:bCs/>
        </w:rPr>
        <w:t>Peusahaan</w:t>
      </w:r>
      <w:proofErr w:type="spellEnd"/>
      <w:r>
        <w:rPr>
          <w:rFonts w:ascii="Times" w:hAnsi="Times" w:cs="Times"/>
          <w:bCs/>
        </w:rPr>
        <w:t xml:space="preserve"> Listrik Negara (PLN). The PLN has monopoly on energy, which allows them to determine the payment that private players receive, while also reduces the competitiveness of independent power producers for energy market </w:t>
      </w:r>
      <w:r>
        <w:rPr>
          <w:rFonts w:ascii="Times" w:hAnsi="Times" w:cs="Times"/>
          <w:bCs/>
        </w:rPr>
        <w:lastRenderedPageBreak/>
        <w:t xml:space="preserve">share. The research by Guild (2019) further questions transparency and honesty of the PLN in their partnerships with independent players and commitment towards RE. Indonesia’s </w:t>
      </w:r>
      <w:proofErr w:type="gramStart"/>
      <w:r>
        <w:rPr>
          <w:rFonts w:ascii="Times" w:hAnsi="Times" w:cs="Times"/>
          <w:bCs/>
        </w:rPr>
        <w:t>policy-makers</w:t>
      </w:r>
      <w:proofErr w:type="gramEnd"/>
      <w:r>
        <w:rPr>
          <w:rFonts w:ascii="Times" w:hAnsi="Times" w:cs="Times"/>
          <w:bCs/>
        </w:rPr>
        <w:t xml:space="preserve"> had also change their FIT policies frequently, leading to unpredictability, all of which lowered investor trust </w:t>
      </w:r>
      <w:sdt>
        <w:sdtPr>
          <w:rPr>
            <w:rFonts w:ascii="Times" w:hAnsi="Times" w:cs="Times"/>
            <w:bCs/>
          </w:rPr>
          <w:id w:val="1889220665"/>
          <w:citation/>
        </w:sdtPr>
        <w:sdtEndPr/>
        <w:sdtContent>
          <w:r>
            <w:rPr>
              <w:rFonts w:ascii="Times" w:hAnsi="Times" w:cs="Times"/>
              <w:bCs/>
            </w:rPr>
            <w:fldChar w:fldCharType="begin"/>
          </w:r>
          <w:r>
            <w:rPr>
              <w:rFonts w:ascii="Times" w:hAnsi="Times" w:cs="Times"/>
              <w:bCs/>
            </w:rPr>
            <w:instrText xml:space="preserve"> CITATION Gui19 \l 1033 </w:instrText>
          </w:r>
          <w:r>
            <w:rPr>
              <w:rFonts w:ascii="Times" w:hAnsi="Times" w:cs="Times"/>
              <w:bCs/>
            </w:rPr>
            <w:fldChar w:fldCharType="separate"/>
          </w:r>
          <w:r w:rsidRPr="00104F10">
            <w:rPr>
              <w:rFonts w:ascii="Times" w:hAnsi="Times" w:cs="Times"/>
              <w:noProof/>
            </w:rPr>
            <w:t>(Guild, 2019)</w:t>
          </w:r>
          <w:r>
            <w:rPr>
              <w:rFonts w:ascii="Times" w:hAnsi="Times" w:cs="Times"/>
              <w:bCs/>
            </w:rPr>
            <w:fldChar w:fldCharType="end"/>
          </w:r>
        </w:sdtContent>
      </w:sdt>
      <w:r>
        <w:rPr>
          <w:rFonts w:ascii="Times" w:hAnsi="Times" w:cs="Times"/>
          <w:bCs/>
        </w:rPr>
        <w:t>. Therefore, best practice in policies and political economic governance impacting the private sector can explain the effectiveness of FIT policies and be determinants of RE project success.</w:t>
      </w:r>
    </w:p>
    <w:p w14:paraId="54A82D77" w14:textId="77777777" w:rsidR="00104F10" w:rsidRPr="00F65EF7" w:rsidRDefault="00104F10" w:rsidP="00104F10">
      <w:pPr>
        <w:pStyle w:val="Teaser"/>
        <w:jc w:val="both"/>
        <w:rPr>
          <w:rFonts w:ascii="Times" w:hAnsi="Times" w:cs="Times"/>
          <w:i/>
          <w:iCs/>
        </w:rPr>
      </w:pPr>
    </w:p>
    <w:p w14:paraId="518D338D" w14:textId="64D0A674" w:rsidR="00104F10" w:rsidRDefault="00615B01" w:rsidP="009E0415">
      <w:pPr>
        <w:pStyle w:val="Teaser"/>
        <w:jc w:val="both"/>
        <w:rPr>
          <w:rFonts w:ascii="Times" w:hAnsi="Times" w:cs="Times"/>
          <w:bCs/>
        </w:rPr>
      </w:pPr>
      <w:r w:rsidRPr="00F65EF7">
        <w:rPr>
          <w:rFonts w:ascii="Times" w:hAnsi="Times" w:cs="Times"/>
          <w:b/>
          <w:i/>
          <w:iCs/>
        </w:rPr>
        <w:t>Technology (Development) &amp; Social (Policy):</w:t>
      </w:r>
      <w:r w:rsidR="00506A69">
        <w:rPr>
          <w:rFonts w:ascii="Times" w:hAnsi="Times" w:cs="Times"/>
          <w:bCs/>
        </w:rPr>
        <w:t xml:space="preserve"> </w:t>
      </w:r>
      <w:r w:rsidR="00F65EF7">
        <w:rPr>
          <w:rFonts w:ascii="Times" w:hAnsi="Times" w:cs="Times"/>
          <w:bCs/>
        </w:rPr>
        <w:t>Finally, even when there are government policies, community support and the collaboration from the private sector, a lack of technology and skills required for RE will cause project failure, there would be the will but not the means to develop projects.</w:t>
      </w:r>
      <w:r w:rsidR="00F44D3D">
        <w:rPr>
          <w:rFonts w:ascii="Times" w:hAnsi="Times" w:cs="Times"/>
          <w:bCs/>
        </w:rPr>
        <w:t xml:space="preserve"> There is also the talent aspect of the project, </w:t>
      </w:r>
      <w:r w:rsidR="00104F10">
        <w:rPr>
          <w:rFonts w:ascii="Times" w:hAnsi="Times" w:cs="Times"/>
          <w:bCs/>
        </w:rPr>
        <w:t xml:space="preserve">where </w:t>
      </w:r>
      <w:r w:rsidR="00F44D3D">
        <w:rPr>
          <w:rFonts w:ascii="Times" w:hAnsi="Times" w:cs="Times"/>
          <w:bCs/>
        </w:rPr>
        <w:t>RE expertise</w:t>
      </w:r>
      <w:r w:rsidR="00104F10">
        <w:rPr>
          <w:rFonts w:ascii="Times" w:hAnsi="Times" w:cs="Times"/>
          <w:bCs/>
        </w:rPr>
        <w:t xml:space="preserve"> and qualified skills</w:t>
      </w:r>
      <w:r w:rsidR="00F44D3D">
        <w:rPr>
          <w:rFonts w:ascii="Times" w:hAnsi="Times" w:cs="Times"/>
          <w:bCs/>
        </w:rPr>
        <w:t xml:space="preserve"> are critical to project success</w:t>
      </w:r>
      <w:r w:rsidR="00104F10">
        <w:rPr>
          <w:rFonts w:ascii="Times" w:hAnsi="Times" w:cs="Times"/>
          <w:bCs/>
        </w:rPr>
        <w:t>.</w:t>
      </w:r>
      <w:r w:rsidR="00F65EF7">
        <w:rPr>
          <w:rFonts w:ascii="Times" w:hAnsi="Times" w:cs="Times"/>
          <w:bCs/>
        </w:rPr>
        <w:t xml:space="preserve"> People development </w:t>
      </w:r>
      <w:r w:rsidR="00104F10">
        <w:rPr>
          <w:rFonts w:ascii="Times" w:hAnsi="Times" w:cs="Times"/>
          <w:bCs/>
        </w:rPr>
        <w:t>in</w:t>
      </w:r>
      <w:r w:rsidR="00F65EF7">
        <w:rPr>
          <w:rFonts w:ascii="Times" w:hAnsi="Times" w:cs="Times"/>
          <w:bCs/>
        </w:rPr>
        <w:t xml:space="preserve"> RE is important</w:t>
      </w:r>
      <w:r w:rsidR="00104F10">
        <w:rPr>
          <w:rFonts w:ascii="Times" w:hAnsi="Times" w:cs="Times"/>
          <w:bCs/>
        </w:rPr>
        <w:t xml:space="preserve"> as education and training gaps is one of the barriers of success in renewable energy development. In research on global supply of RE education, which studies the </w:t>
      </w:r>
      <w:r w:rsidR="00104F10" w:rsidRPr="00104F10">
        <w:rPr>
          <w:lang w:val="en-SG" w:eastAsia="zh-CN"/>
        </w:rPr>
        <w:t>IRENA Renewable Energy Learning Partnership (IRELP)</w:t>
      </w:r>
      <w:r w:rsidR="00104F10">
        <w:rPr>
          <w:lang w:val="en-SG" w:eastAsia="zh-CN"/>
        </w:rPr>
        <w:t xml:space="preserve"> data</w:t>
      </w:r>
      <w:r w:rsidR="00104F10">
        <w:rPr>
          <w:rFonts w:ascii="Times" w:hAnsi="Times" w:cs="Times"/>
          <w:bCs/>
        </w:rPr>
        <w:t xml:space="preserve">, findings show that there is (1) shortage of education and training in developing nations, (2) mismatch in real life applicability of education curriculum, (3) mismatch between education resources and industry demand and (4) students are moving towards online training for collaboration and learning. These issues contribute to a critical shortage of skilled human resource that hinders the RE market development. Therefore, responding to the changes in demand for skills is crucial and investing into education, up-skilling, re-training is required, transnational networks is crucial. Skill strategies for RE are needed to address these issues, governments and RE sector should collaborate to provide relevant training and education to develop programs. Social dialogues between industry stakeholders are therefore useful, both in identifying skill gaps in the sector and ensuring sufficient education is accessible </w:t>
      </w:r>
      <w:sdt>
        <w:sdtPr>
          <w:rPr>
            <w:rFonts w:ascii="Times" w:hAnsi="Times" w:cs="Times"/>
            <w:bCs/>
          </w:rPr>
          <w:id w:val="-769858841"/>
          <w:citation/>
        </w:sdtPr>
        <w:sdtEndPr/>
        <w:sdtContent>
          <w:r w:rsidR="00104F10">
            <w:rPr>
              <w:rFonts w:ascii="Times" w:hAnsi="Times" w:cs="Times"/>
              <w:bCs/>
            </w:rPr>
            <w:fldChar w:fldCharType="begin"/>
          </w:r>
          <w:r w:rsidR="00104F10">
            <w:rPr>
              <w:rFonts w:ascii="Times" w:hAnsi="Times" w:cs="Times"/>
              <w:bCs/>
            </w:rPr>
            <w:instrText xml:space="preserve">CITATION Cha16 \l 1033 </w:instrText>
          </w:r>
          <w:r w:rsidR="00104F10">
            <w:rPr>
              <w:rFonts w:ascii="Times" w:hAnsi="Times" w:cs="Times"/>
              <w:bCs/>
            </w:rPr>
            <w:fldChar w:fldCharType="separate"/>
          </w:r>
          <w:r w:rsidR="00104F10" w:rsidRPr="00104F10">
            <w:rPr>
              <w:rFonts w:ascii="Times" w:hAnsi="Times" w:cs="Times"/>
              <w:noProof/>
            </w:rPr>
            <w:t>(Malamatenios, 2016)</w:t>
          </w:r>
          <w:r w:rsidR="00104F10">
            <w:rPr>
              <w:rFonts w:ascii="Times" w:hAnsi="Times" w:cs="Times"/>
              <w:bCs/>
            </w:rPr>
            <w:fldChar w:fldCharType="end"/>
          </w:r>
        </w:sdtContent>
      </w:sdt>
      <w:r w:rsidR="00104F10">
        <w:rPr>
          <w:rFonts w:ascii="Times" w:hAnsi="Times" w:cs="Times"/>
          <w:bCs/>
        </w:rPr>
        <w:t xml:space="preserve">. </w:t>
      </w:r>
    </w:p>
    <w:p w14:paraId="3E74D57E" w14:textId="287E4DD5" w:rsidR="00104F10" w:rsidRDefault="00104F10" w:rsidP="009E0415">
      <w:pPr>
        <w:pStyle w:val="Teaser"/>
        <w:jc w:val="both"/>
        <w:rPr>
          <w:rFonts w:ascii="Times" w:hAnsi="Times" w:cs="Times"/>
          <w:bCs/>
        </w:rPr>
      </w:pPr>
      <w:r>
        <w:rPr>
          <w:rFonts w:ascii="Times" w:hAnsi="Times" w:cs="Times"/>
          <w:bCs/>
        </w:rPr>
        <w:t xml:space="preserve">In the US, Madison Area Technical College launched an academy that provided training for educators in RE technologies. The program provides high school and college teachers and staff access to equipment and relevant lessons to teach their students through programs in training centers used by the </w:t>
      </w:r>
      <w:r>
        <w:rPr>
          <w:rFonts w:ascii="Times" w:hAnsi="Times" w:cs="Times"/>
          <w:bCs/>
          <w:lang w:val="en-SG"/>
        </w:rPr>
        <w:t>N</w:t>
      </w:r>
      <w:proofErr w:type="spellStart"/>
      <w:r w:rsidRPr="00104F10">
        <w:rPr>
          <w:rFonts w:ascii="Times" w:hAnsi="Times" w:cs="Times"/>
          <w:bCs/>
        </w:rPr>
        <w:t>ational</w:t>
      </w:r>
      <w:proofErr w:type="spellEnd"/>
      <w:r w:rsidRPr="00104F10">
        <w:rPr>
          <w:rFonts w:ascii="Times" w:hAnsi="Times" w:cs="Times"/>
          <w:bCs/>
        </w:rPr>
        <w:t xml:space="preserve"> Alternative Fuel Training Consortium (NAFTC)</w:t>
      </w:r>
      <w:r>
        <w:rPr>
          <w:rFonts w:ascii="Times" w:hAnsi="Times" w:cs="Times"/>
          <w:bCs/>
        </w:rPr>
        <w:t>. The educational academies are programmed to expose educators to relevant industry practices. Madison college established a few academies that focused on Solar Electrics, Science Technology, Engineering and Mathematics (STEM) and wind energies. The results were positive as over 96% of attendees indicated a growth in interest for renewable energy. The long-term impact discovered was enhanced classroom lessons, modified curriculum, new lab lessons, new courses and equipment and more hands-on experience</w:t>
      </w:r>
      <w:sdt>
        <w:sdtPr>
          <w:rPr>
            <w:rFonts w:ascii="Times" w:hAnsi="Times" w:cs="Times"/>
            <w:bCs/>
          </w:rPr>
          <w:id w:val="1374504343"/>
          <w:citation/>
        </w:sdtPr>
        <w:sdtEndPr/>
        <w:sdtContent>
          <w:r>
            <w:rPr>
              <w:rFonts w:ascii="Times" w:hAnsi="Times" w:cs="Times"/>
              <w:bCs/>
            </w:rPr>
            <w:fldChar w:fldCharType="begin"/>
          </w:r>
          <w:r>
            <w:rPr>
              <w:rFonts w:ascii="Times" w:hAnsi="Times" w:cs="Times"/>
              <w:bCs/>
            </w:rPr>
            <w:instrText xml:space="preserve"> CITATION Wal17 \l 1033 </w:instrText>
          </w:r>
          <w:r>
            <w:rPr>
              <w:rFonts w:ascii="Times" w:hAnsi="Times" w:cs="Times"/>
              <w:bCs/>
            </w:rPr>
            <w:fldChar w:fldCharType="separate"/>
          </w:r>
          <w:r>
            <w:rPr>
              <w:rFonts w:ascii="Times" w:hAnsi="Times" w:cs="Times"/>
              <w:bCs/>
              <w:noProof/>
            </w:rPr>
            <w:t xml:space="preserve"> </w:t>
          </w:r>
          <w:r w:rsidRPr="00104F10">
            <w:rPr>
              <w:rFonts w:ascii="Times" w:hAnsi="Times" w:cs="Times"/>
              <w:noProof/>
            </w:rPr>
            <w:t>(Walz &amp; Shoemaker, 2017)</w:t>
          </w:r>
          <w:r>
            <w:rPr>
              <w:rFonts w:ascii="Times" w:hAnsi="Times" w:cs="Times"/>
              <w:bCs/>
            </w:rPr>
            <w:fldChar w:fldCharType="end"/>
          </w:r>
        </w:sdtContent>
      </w:sdt>
      <w:r>
        <w:rPr>
          <w:rFonts w:ascii="Times" w:hAnsi="Times" w:cs="Times"/>
          <w:bCs/>
        </w:rPr>
        <w:t xml:space="preserve">. Although there is no direct relation with the program and meeting RE skill shortages, such programs </w:t>
      </w:r>
      <w:proofErr w:type="gramStart"/>
      <w:r>
        <w:rPr>
          <w:rFonts w:ascii="Times" w:hAnsi="Times" w:cs="Times"/>
          <w:bCs/>
        </w:rPr>
        <w:t>develops</w:t>
      </w:r>
      <w:proofErr w:type="gramEnd"/>
      <w:r>
        <w:rPr>
          <w:rFonts w:ascii="Times" w:hAnsi="Times" w:cs="Times"/>
          <w:bCs/>
        </w:rPr>
        <w:t xml:space="preserve"> the industry as a whole when more students become interested in the sector and educational curriculum gets updated with relevant industry practices.</w:t>
      </w:r>
    </w:p>
    <w:p w14:paraId="54E80454" w14:textId="1AF823EA" w:rsidR="00187DC5" w:rsidRDefault="00187DC5" w:rsidP="009E0415">
      <w:pPr>
        <w:pStyle w:val="Teaser"/>
        <w:jc w:val="both"/>
        <w:rPr>
          <w:rFonts w:ascii="Times" w:hAnsi="Times" w:cs="Times"/>
          <w:bCs/>
          <w:noProof/>
          <w:lang w:val="en-SG"/>
        </w:rPr>
      </w:pPr>
      <w:r>
        <w:rPr>
          <w:rFonts w:ascii="Times" w:hAnsi="Times" w:cs="Times"/>
          <w:bCs/>
        </w:rPr>
        <w:t>To build up upon unequal education and training opportunities distribution in developing countries, IRELP shows that courses are concentrated in Europe (41%), North America (33%), while the</w:t>
      </w:r>
      <w:r w:rsidR="008022CE">
        <w:rPr>
          <w:rFonts w:ascii="Times" w:hAnsi="Times" w:cs="Times"/>
          <w:bCs/>
        </w:rPr>
        <w:t>re are</w:t>
      </w:r>
      <w:r>
        <w:rPr>
          <w:rFonts w:ascii="Times" w:hAnsi="Times" w:cs="Times"/>
          <w:bCs/>
        </w:rPr>
        <w:t xml:space="preserve"> less</w:t>
      </w:r>
      <w:r w:rsidR="008022CE">
        <w:rPr>
          <w:rFonts w:ascii="Times" w:hAnsi="Times" w:cs="Times"/>
          <w:bCs/>
        </w:rPr>
        <w:t xml:space="preserve"> courses in</w:t>
      </w:r>
      <w:r>
        <w:rPr>
          <w:rFonts w:ascii="Times" w:hAnsi="Times" w:cs="Times"/>
          <w:bCs/>
        </w:rPr>
        <w:t xml:space="preserve"> develop</w:t>
      </w:r>
      <w:r w:rsidR="008022CE">
        <w:rPr>
          <w:rFonts w:ascii="Times" w:hAnsi="Times" w:cs="Times"/>
          <w:bCs/>
        </w:rPr>
        <w:t>ing</w:t>
      </w:r>
      <w:r>
        <w:rPr>
          <w:rFonts w:ascii="Times" w:hAnsi="Times" w:cs="Times"/>
          <w:bCs/>
        </w:rPr>
        <w:t xml:space="preserve"> areas </w:t>
      </w:r>
      <w:r w:rsidR="008022CE">
        <w:rPr>
          <w:rFonts w:ascii="Times" w:hAnsi="Times" w:cs="Times"/>
          <w:bCs/>
        </w:rPr>
        <w:t>such as</w:t>
      </w:r>
      <w:r>
        <w:rPr>
          <w:rFonts w:ascii="Times" w:hAnsi="Times" w:cs="Times"/>
          <w:bCs/>
        </w:rPr>
        <w:t xml:space="preserve">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Pr>
              <w:rFonts w:ascii="Times" w:hAnsi="Times" w:cs="Times"/>
              <w:bCs/>
            </w:rPr>
            <w:fldChar w:fldCharType="separate"/>
          </w:r>
          <w:r>
            <w:rPr>
              <w:rFonts w:ascii="Times" w:hAnsi="Times" w:cs="Times"/>
              <w:bCs/>
              <w:noProof/>
            </w:rPr>
            <w:t xml:space="preserve"> </w:t>
          </w:r>
          <w:r w:rsidRPr="00187DC5">
            <w:rPr>
              <w:rFonts w:ascii="Times" w:hAnsi="Times" w:cs="Times"/>
              <w:noProof/>
            </w:rPr>
            <w:t>(Lucas, Pinnington, &amp; Cabeza, 2018)</w:t>
          </w:r>
          <w:r>
            <w:rPr>
              <w:rFonts w:ascii="Times" w:hAnsi="Times" w:cs="Times"/>
              <w:bCs/>
            </w:rPr>
            <w:fldChar w:fldCharType="end"/>
          </w:r>
        </w:sdtContent>
      </w:sdt>
      <w:r>
        <w:rPr>
          <w:rFonts w:ascii="Times" w:hAnsi="Times" w:cs="Times"/>
          <w:bCs/>
        </w:rPr>
        <w:t xml:space="preserve">. </w:t>
      </w:r>
      <w:r w:rsidR="008022CE">
        <w:rPr>
          <w:rFonts w:ascii="Times" w:hAnsi="Times" w:cs="Times"/>
          <w:bCs/>
          <w:noProof/>
        </w:rPr>
        <w:t>B</w:t>
      </w:r>
      <w:r w:rsidR="008022CE">
        <w:rPr>
          <w:rFonts w:ascii="Times" w:hAnsi="Times" w:cs="Times"/>
          <w:bCs/>
          <w:noProof/>
          <w:lang w:val="en-SG"/>
        </w:rPr>
        <w:t xml:space="preserve">ased on figure 11, countries such as latin americ (South America), Africa and Oceania are still the lowest producers of renewable energy, in tandem with their lack of educational courses by IRELP. </w:t>
      </w:r>
      <w:r>
        <w:rPr>
          <w:rFonts w:ascii="Times" w:hAnsi="Times" w:cs="Times"/>
          <w:bCs/>
          <w:noProof/>
          <w:lang w:val="en-SG"/>
        </w:rPr>
        <w:t>However, renewable electricity generation in Asia is the large</w:t>
      </w:r>
      <w:r w:rsidR="008022CE">
        <w:rPr>
          <w:rFonts w:ascii="Times" w:hAnsi="Times" w:cs="Times"/>
          <w:bCs/>
          <w:noProof/>
          <w:lang w:val="en-SG"/>
        </w:rPr>
        <w:t>r than Europe and North America</w:t>
      </w:r>
      <w:r>
        <w:rPr>
          <w:rFonts w:ascii="Times" w:hAnsi="Times" w:cs="Times"/>
          <w:bCs/>
          <w:noProof/>
          <w:lang w:val="en-SG"/>
        </w:rPr>
        <w:t xml:space="preserve"> in 2019, major contributors are China, India, Japan, Vietnam, Pakistan and South Korea </w:t>
      </w:r>
      <w:sdt>
        <w:sdtPr>
          <w:rPr>
            <w:rFonts w:ascii="Times" w:hAnsi="Times" w:cs="Times"/>
            <w:bCs/>
            <w:noProof/>
            <w:lang w:val="en-SG"/>
          </w:rPr>
          <w:id w:val="1765348853"/>
          <w:citation/>
        </w:sdtPr>
        <w:sdtEndPr/>
        <w:sdtContent>
          <w:r>
            <w:rPr>
              <w:rFonts w:ascii="Times" w:hAnsi="Times" w:cs="Times"/>
              <w:bCs/>
              <w:noProof/>
              <w:lang w:val="en-SG"/>
            </w:rPr>
            <w:fldChar w:fldCharType="begin"/>
          </w:r>
          <w:r>
            <w:rPr>
              <w:rFonts w:ascii="Times" w:hAnsi="Times" w:cs="Times"/>
              <w:bCs/>
              <w:noProof/>
            </w:rPr>
            <w:instrText xml:space="preserve"> CITATION Sha19 \l 1033 </w:instrText>
          </w:r>
          <w:r>
            <w:rPr>
              <w:rFonts w:ascii="Times" w:hAnsi="Times" w:cs="Times"/>
              <w:bCs/>
              <w:noProof/>
              <w:lang w:val="en-SG"/>
            </w:rPr>
            <w:fldChar w:fldCharType="separate"/>
          </w:r>
          <w:r w:rsidRPr="00187DC5">
            <w:rPr>
              <w:rFonts w:ascii="Times" w:hAnsi="Times" w:cs="Times"/>
              <w:noProof/>
            </w:rPr>
            <w:t>(Besta, 2019)</w:t>
          </w:r>
          <w:r>
            <w:rPr>
              <w:rFonts w:ascii="Times" w:hAnsi="Times" w:cs="Times"/>
              <w:bCs/>
              <w:noProof/>
              <w:lang w:val="en-SG"/>
            </w:rPr>
            <w:fldChar w:fldCharType="end"/>
          </w:r>
        </w:sdtContent>
      </w:sdt>
      <w:r>
        <w:rPr>
          <w:rFonts w:ascii="Times" w:hAnsi="Times" w:cs="Times"/>
          <w:bCs/>
          <w:noProof/>
          <w:lang w:val="en-SG"/>
        </w:rPr>
        <w:t xml:space="preserve">. </w:t>
      </w:r>
      <w:r w:rsidR="008022CE">
        <w:rPr>
          <w:rFonts w:ascii="Times" w:hAnsi="Times" w:cs="Times"/>
          <w:bCs/>
          <w:noProof/>
          <w:lang w:val="en-SG"/>
        </w:rPr>
        <w:t>This is likely due to the sheer diversity of the region and large investments in the leading asian countries.</w:t>
      </w:r>
    </w:p>
    <w:p w14:paraId="77E9152E" w14:textId="1647C0BC" w:rsidR="00187DC5" w:rsidRDefault="00187DC5" w:rsidP="00187DC5">
      <w:pPr>
        <w:pStyle w:val="Teaser"/>
        <w:jc w:val="center"/>
        <w:rPr>
          <w:rFonts w:ascii="Times" w:hAnsi="Times" w:cs="Times"/>
          <w:bCs/>
          <w:lang w:val="en-SG"/>
        </w:rPr>
      </w:pPr>
      <w:r>
        <w:rPr>
          <w:rFonts w:ascii="Times" w:hAnsi="Times" w:cs="Times"/>
          <w:bCs/>
          <w:noProof/>
          <w:lang w:val="en-SG"/>
        </w:rPr>
        <w:lastRenderedPageBreak/>
        <w:drawing>
          <wp:inline distT="0" distB="0" distL="0" distR="0" wp14:anchorId="6C1285E6" wp14:editId="4A50BBF7">
            <wp:extent cx="6380703" cy="4740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stretch>
                      <a:fillRect/>
                    </a:stretch>
                  </pic:blipFill>
                  <pic:spPr>
                    <a:xfrm>
                      <a:off x="0" y="0"/>
                      <a:ext cx="6401878" cy="4756357"/>
                    </a:xfrm>
                    <a:prstGeom prst="rect">
                      <a:avLst/>
                    </a:prstGeom>
                  </pic:spPr>
                </pic:pic>
              </a:graphicData>
            </a:graphic>
          </wp:inline>
        </w:drawing>
      </w:r>
    </w:p>
    <w:p w14:paraId="1EEE4A26" w14:textId="0200F9B6" w:rsidR="00187DC5" w:rsidRDefault="00187DC5" w:rsidP="00187DC5">
      <w:pPr>
        <w:pStyle w:val="Caption"/>
        <w:keepNext/>
        <w:jc w:val="center"/>
        <w:rPr>
          <w:rFonts w:ascii="Times" w:hAnsi="Times" w:cs="Times"/>
          <w:b/>
          <w:bCs/>
        </w:rPr>
      </w:pPr>
      <w:r>
        <w:rPr>
          <w:noProof/>
        </w:rPr>
        <w:t>Figure 11</w:t>
      </w:r>
      <w:r>
        <w:t>:</w:t>
      </w:r>
      <w:r>
        <w:rPr>
          <w:rFonts w:ascii="Times" w:hAnsi="Times" w:cs="Times"/>
        </w:rPr>
        <w:t xml:space="preserve"> Renewable Energy generation by region</w:t>
      </w:r>
      <w:r>
        <w:rPr>
          <w:rFonts w:ascii="Times" w:hAnsi="Times" w:cs="Times"/>
          <w:b/>
          <w:bCs/>
        </w:rPr>
        <w:t xml:space="preserve"> 2019 </w:t>
      </w:r>
    </w:p>
    <w:p w14:paraId="45FE79B5" w14:textId="77777777" w:rsidR="00187DC5" w:rsidRPr="00187DC5" w:rsidRDefault="00187DC5" w:rsidP="00187DC5">
      <w:pPr>
        <w:pStyle w:val="Caption"/>
        <w:keepNext/>
        <w:jc w:val="center"/>
        <w:rPr>
          <w:noProof/>
        </w:rPr>
      </w:pPr>
      <w:r>
        <w:rPr>
          <w:noProof/>
        </w:rPr>
        <w:t xml:space="preserve">Source: </w:t>
      </w:r>
      <w:sdt>
        <w:sdtPr>
          <w:rPr>
            <w:noProof/>
          </w:rPr>
          <w:id w:val="811592899"/>
          <w:citation/>
        </w:sdtPr>
        <w:sdtEndPr/>
        <w:sdtContent>
          <w:r w:rsidRPr="00187DC5">
            <w:rPr>
              <w:noProof/>
            </w:rPr>
            <w:fldChar w:fldCharType="begin"/>
          </w:r>
          <w:r w:rsidRPr="00187DC5">
            <w:rPr>
              <w:noProof/>
            </w:rPr>
            <w:instrText xml:space="preserve"> CITATION Sta22 \l 1033 </w:instrText>
          </w:r>
          <w:r w:rsidRPr="00187DC5">
            <w:rPr>
              <w:noProof/>
            </w:rPr>
            <w:fldChar w:fldCharType="separate"/>
          </w:r>
          <w:r w:rsidRPr="00187DC5">
            <w:rPr>
              <w:noProof/>
            </w:rPr>
            <w:t>(Statista, IRENA, 2022)</w:t>
          </w:r>
          <w:r w:rsidRPr="00187DC5">
            <w:rPr>
              <w:noProof/>
            </w:rPr>
            <w:fldChar w:fldCharType="end"/>
          </w:r>
        </w:sdtContent>
      </w:sdt>
    </w:p>
    <w:p w14:paraId="08C0441B" w14:textId="77777777" w:rsidR="00104F10" w:rsidRDefault="00104F10" w:rsidP="009E0415">
      <w:pPr>
        <w:pStyle w:val="Teaser"/>
        <w:jc w:val="both"/>
        <w:rPr>
          <w:rFonts w:ascii="Times" w:hAnsi="Times" w:cs="Times"/>
          <w:bCs/>
        </w:rPr>
      </w:pPr>
    </w:p>
    <w:p w14:paraId="1E9D6D71" w14:textId="72EB39BB" w:rsidR="00104F10" w:rsidRDefault="00104F10" w:rsidP="009E0415">
      <w:pPr>
        <w:pStyle w:val="Teaser"/>
        <w:jc w:val="both"/>
        <w:rPr>
          <w:rFonts w:ascii="Times" w:hAnsi="Times" w:cs="Times"/>
          <w:bCs/>
          <w:highlight w:val="yellow"/>
        </w:rPr>
      </w:pPr>
      <w:r>
        <w:rPr>
          <w:rFonts w:ascii="Times" w:hAnsi="Times" w:cs="Times"/>
          <w:bCs/>
        </w:rPr>
        <w:t xml:space="preserve">Other </w:t>
      </w:r>
      <w:r>
        <w:rPr>
          <w:rFonts w:ascii="Times" w:hAnsi="Times" w:cs="Times"/>
          <w:bCs/>
          <w:highlight w:val="yellow"/>
        </w:rPr>
        <w:t>Ideas:</w:t>
      </w:r>
    </w:p>
    <w:p w14:paraId="13D5CCD4" w14:textId="2D57DBF1" w:rsidR="00F65EF7" w:rsidRDefault="006A002E" w:rsidP="009E0415">
      <w:pPr>
        <w:pStyle w:val="Teaser"/>
        <w:jc w:val="both"/>
        <w:rPr>
          <w:rFonts w:ascii="Times" w:hAnsi="Times" w:cs="Times"/>
          <w:bCs/>
          <w:highlight w:val="yellow"/>
        </w:rPr>
      </w:pPr>
      <w:r w:rsidRPr="00B31E25">
        <w:rPr>
          <w:rFonts w:ascii="Times" w:hAnsi="Times" w:cs="Times"/>
          <w:bCs/>
          <w:highlight w:val="yellow"/>
        </w:rPr>
        <w:t>(Think about this</w:t>
      </w:r>
      <w:r w:rsidR="00B31E25" w:rsidRPr="00B31E25">
        <w:rPr>
          <w:rFonts w:ascii="Times" w:hAnsi="Times" w:cs="Times"/>
          <w:bCs/>
          <w:highlight w:val="yellow"/>
        </w:rPr>
        <w:t xml:space="preserve"> – even if there is support from all the above, a lack of technology applicable to the project still causes project </w:t>
      </w:r>
      <w:r w:rsidR="00174271" w:rsidRPr="00B31E25">
        <w:rPr>
          <w:rFonts w:ascii="Times" w:hAnsi="Times" w:cs="Times"/>
          <w:bCs/>
          <w:highlight w:val="yellow"/>
        </w:rPr>
        <w:t>failure</w:t>
      </w:r>
      <w:r w:rsidR="00B31E25" w:rsidRPr="00B31E25">
        <w:rPr>
          <w:rFonts w:ascii="Times" w:hAnsi="Times" w:cs="Times"/>
          <w:bCs/>
          <w:highlight w:val="yellow"/>
        </w:rPr>
        <w:t xml:space="preserve">. In other </w:t>
      </w:r>
      <w:proofErr w:type="gramStart"/>
      <w:r w:rsidR="00B31E25" w:rsidRPr="00B31E25">
        <w:rPr>
          <w:rFonts w:ascii="Times" w:hAnsi="Times" w:cs="Times"/>
          <w:bCs/>
          <w:highlight w:val="yellow"/>
        </w:rPr>
        <w:t>words</w:t>
      </w:r>
      <w:proofErr w:type="gramEnd"/>
      <w:r w:rsidR="00B31E25" w:rsidRPr="00B31E25">
        <w:rPr>
          <w:rFonts w:ascii="Times" w:hAnsi="Times" w:cs="Times"/>
          <w:bCs/>
          <w:highlight w:val="yellow"/>
        </w:rPr>
        <w:t xml:space="preserve"> the will is there but not the ability to execute. Lack of skill people, lack of training, lack of R&amp;</w:t>
      </w:r>
      <w:proofErr w:type="gramStart"/>
      <w:r w:rsidR="00B31E25" w:rsidRPr="00B31E25">
        <w:rPr>
          <w:rFonts w:ascii="Times" w:hAnsi="Times" w:cs="Times"/>
          <w:bCs/>
          <w:highlight w:val="yellow"/>
        </w:rPr>
        <w:t>D,  -</w:t>
      </w:r>
      <w:proofErr w:type="gramEnd"/>
      <w:r w:rsidR="00B31E25" w:rsidRPr="00B31E25">
        <w:rPr>
          <w:rFonts w:ascii="Times" w:hAnsi="Times" w:cs="Times"/>
          <w:bCs/>
          <w:highlight w:val="yellow"/>
        </w:rPr>
        <w:t xml:space="preserve"> link this to education, link to …..</w:t>
      </w:r>
      <w:r w:rsidRPr="00B31E25">
        <w:rPr>
          <w:rFonts w:ascii="Times" w:hAnsi="Times" w:cs="Times"/>
          <w:bCs/>
          <w:highlight w:val="yellow"/>
        </w:rPr>
        <w:t>)</w:t>
      </w:r>
      <w:r w:rsidR="00B31E25" w:rsidRPr="00B31E25">
        <w:rPr>
          <w:rFonts w:ascii="Times" w:hAnsi="Times" w:cs="Times"/>
          <w:bCs/>
          <w:highlight w:val="yellow"/>
        </w:rPr>
        <w:t xml:space="preserve"> </w:t>
      </w:r>
    </w:p>
    <w:p w14:paraId="341765DC" w14:textId="092BF717" w:rsidR="00F65EF7" w:rsidRDefault="00F65EF7" w:rsidP="009E0415">
      <w:pPr>
        <w:pStyle w:val="Teaser"/>
        <w:jc w:val="both"/>
        <w:rPr>
          <w:rFonts w:ascii="Times" w:hAnsi="Times" w:cs="Times"/>
          <w:bCs/>
          <w:highlight w:val="yellow"/>
        </w:rPr>
      </w:pPr>
    </w:p>
    <w:p w14:paraId="76B2D07E" w14:textId="58FC2926" w:rsidR="00F44D3D" w:rsidRPr="00F44D3D" w:rsidRDefault="00F44D3D" w:rsidP="00F44D3D">
      <w:pPr>
        <w:rPr>
          <w:highlight w:val="yellow"/>
        </w:rPr>
      </w:pPr>
      <w:r w:rsidRPr="00F44D3D">
        <w:t xml:space="preserve">I would argue this as having a "balanced" position </w:t>
      </w:r>
      <w:proofErr w:type="gramStart"/>
      <w:r w:rsidRPr="00F44D3D">
        <w:t>i.e.</w:t>
      </w:r>
      <w:proofErr w:type="gramEnd"/>
      <w:r w:rsidRPr="00F44D3D">
        <w:t xml:space="preserve"> that technology does not impede the lives of people. For example, think about windfarms offshore Vs onshore. Another example is fracking oil and gas</w:t>
      </w:r>
      <w:proofErr w:type="gramStart"/>
      <w:r w:rsidRPr="00F44D3D">
        <w:t>....it's</w:t>
      </w:r>
      <w:proofErr w:type="gramEnd"/>
      <w:r w:rsidRPr="00F44D3D">
        <w:t xml:space="preserve"> banned in a lot of countries because it's </w:t>
      </w:r>
      <w:proofErr w:type="spellStart"/>
      <w:r w:rsidRPr="00F44D3D">
        <w:t>precieved</w:t>
      </w:r>
      <w:proofErr w:type="spellEnd"/>
      <w:r w:rsidRPr="00F44D3D">
        <w:t xml:space="preserve"> impact to groundwater as well as </w:t>
      </w:r>
      <w:proofErr w:type="spellStart"/>
      <w:r w:rsidRPr="00F44D3D">
        <w:t>siesmic</w:t>
      </w:r>
      <w:proofErr w:type="spellEnd"/>
      <w:r w:rsidRPr="00F44D3D">
        <w:t xml:space="preserve"> aftershocks...</w:t>
      </w:r>
      <w:proofErr w:type="spellStart"/>
      <w:r w:rsidRPr="00F44D3D">
        <w:t>agian</w:t>
      </w:r>
      <w:proofErr w:type="spellEnd"/>
      <w:r w:rsidRPr="00F44D3D">
        <w:t xml:space="preserve"> you need to read a bit</w:t>
      </w:r>
    </w:p>
    <w:p w14:paraId="6D89DB58" w14:textId="0C1F9EAF" w:rsidR="00615B01" w:rsidRDefault="00B31E25" w:rsidP="009E0415">
      <w:pPr>
        <w:pStyle w:val="Teaser"/>
        <w:jc w:val="both"/>
        <w:rPr>
          <w:rFonts w:ascii="Times" w:hAnsi="Times" w:cs="Times"/>
        </w:rPr>
      </w:pPr>
      <w:r w:rsidRPr="00B31E25">
        <w:rPr>
          <w:rFonts w:ascii="Times" w:hAnsi="Times" w:cs="Times"/>
          <w:bCs/>
          <w:highlight w:val="yellow"/>
        </w:rPr>
        <w:t>You can state that topic 1 to 4 are first order effects; topic 5 is 2</w:t>
      </w:r>
      <w:r w:rsidRPr="00B31E25">
        <w:rPr>
          <w:rFonts w:ascii="Times" w:hAnsi="Times" w:cs="Times"/>
          <w:bCs/>
          <w:highlight w:val="yellow"/>
          <w:vertAlign w:val="superscript"/>
        </w:rPr>
        <w:t>nd</w:t>
      </w:r>
      <w:r w:rsidRPr="00B31E25">
        <w:rPr>
          <w:rFonts w:ascii="Times" w:hAnsi="Times" w:cs="Times"/>
          <w:bCs/>
          <w:highlight w:val="yellow"/>
        </w:rPr>
        <w:t xml:space="preserve"> order effect. We talk </w:t>
      </w:r>
      <w:r w:rsidR="00CE229E" w:rsidRPr="00B31E25">
        <w:rPr>
          <w:rFonts w:ascii="Times" w:hAnsi="Times" w:cs="Times"/>
          <w:bCs/>
          <w:highlight w:val="yellow"/>
        </w:rPr>
        <w:t>about</w:t>
      </w:r>
      <w:r w:rsidRPr="00B31E25">
        <w:rPr>
          <w:rFonts w:ascii="Times" w:hAnsi="Times" w:cs="Times"/>
          <w:bCs/>
          <w:highlight w:val="yellow"/>
        </w:rPr>
        <w:t xml:space="preserve"> world </w:t>
      </w:r>
      <w:r w:rsidR="00CE229E" w:rsidRPr="00B31E25">
        <w:rPr>
          <w:rFonts w:ascii="Times" w:hAnsi="Times" w:cs="Times"/>
          <w:bCs/>
          <w:highlight w:val="yellow"/>
        </w:rPr>
        <w:t>leader</w:t>
      </w:r>
      <w:r w:rsidRPr="00B31E25">
        <w:rPr>
          <w:rFonts w:ascii="Times" w:hAnsi="Times" w:cs="Times"/>
          <w:bCs/>
          <w:highlight w:val="yellow"/>
        </w:rPr>
        <w:t xml:space="preserve"> (US) vs middle of the pack (Singapore) vs last in line (some county in South America)</w:t>
      </w:r>
    </w:p>
    <w:p w14:paraId="5CB0B6ED" w14:textId="77777777" w:rsidR="00615B01" w:rsidRDefault="00615B01" w:rsidP="009E0415">
      <w:pPr>
        <w:pStyle w:val="Teaser"/>
        <w:jc w:val="both"/>
        <w:rPr>
          <w:rFonts w:ascii="Times" w:hAnsi="Times" w:cs="Times"/>
        </w:rPr>
      </w:pPr>
    </w:p>
    <w:p w14:paraId="02669AF6" w14:textId="77777777" w:rsidR="004A1C68" w:rsidRPr="003C703C"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477F75" w:rsidRPr="003C703C">
        <w:rPr>
          <w:rFonts w:ascii="Times" w:eastAsia="Times New Roman" w:hAnsi="Times" w:cs="Times"/>
          <w:bCs/>
          <w:sz w:val="24"/>
          <w:szCs w:val="24"/>
        </w:rPr>
        <w:t xml:space="preserve">text mining and </w:t>
      </w:r>
      <w:r w:rsidRPr="003C703C">
        <w:rPr>
          <w:rFonts w:ascii="Times" w:eastAsia="Times New Roman" w:hAnsi="Times" w:cs="Times"/>
          <w:bCs/>
          <w:sz w:val="24"/>
          <w:szCs w:val="24"/>
        </w:rPr>
        <w:t>topic modelling 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This study has</w:t>
      </w:r>
      <w:r w:rsidRPr="003C703C">
        <w:rPr>
          <w:rFonts w:ascii="Times" w:eastAsia="Times New Roman" w:hAnsi="Times" w:cs="Times"/>
          <w:bCs/>
          <w:sz w:val="24"/>
          <w:szCs w:val="24"/>
        </w:rPr>
        <w:t xml:space="preserve"> </w:t>
      </w:r>
      <w:proofErr w:type="gramStart"/>
      <w:r w:rsidR="00477F75" w:rsidRPr="003C703C">
        <w:rPr>
          <w:rFonts w:ascii="Times" w:eastAsia="Times New Roman" w:hAnsi="Times" w:cs="Times"/>
          <w:bCs/>
          <w:sz w:val="24"/>
          <w:szCs w:val="24"/>
        </w:rPr>
        <w:t xml:space="preserve">that </w:t>
      </w:r>
      <w:r w:rsidRPr="003C703C">
        <w:rPr>
          <w:rFonts w:ascii="Times" w:eastAsia="Times New Roman" w:hAnsi="Times" w:cs="Times"/>
          <w:bCs/>
          <w:sz w:val="24"/>
          <w:szCs w:val="24"/>
        </w:rPr>
        <w:t>financial factors</w:t>
      </w:r>
      <w:proofErr w:type="gramEnd"/>
      <w:r w:rsidRPr="003C703C">
        <w:rPr>
          <w:rFonts w:ascii="Times" w:eastAsia="Times New Roman" w:hAnsi="Times" w:cs="Times"/>
          <w:bCs/>
          <w:sz w:val="24"/>
          <w:szCs w:val="24"/>
        </w:rPr>
        <w:t xml:space="preserve"> alone </w:t>
      </w:r>
      <w:r w:rsidR="00477F75" w:rsidRPr="003C703C">
        <w:rPr>
          <w:rFonts w:ascii="Times" w:eastAsia="Times New Roman" w:hAnsi="Times" w:cs="Times"/>
          <w:bCs/>
          <w:sz w:val="24"/>
          <w:szCs w:val="24"/>
        </w:rPr>
        <w:t>are not</w:t>
      </w:r>
      <w:r w:rsidRPr="003C703C">
        <w:rPr>
          <w:rFonts w:ascii="Times" w:eastAsia="Times New Roman" w:hAnsi="Times" w:cs="Times"/>
          <w:bCs/>
          <w:sz w:val="24"/>
          <w:szCs w:val="24"/>
        </w:rPr>
        <w:t xml:space="preserve"> guarantees </w:t>
      </w:r>
      <w:r w:rsidR="00477F75" w:rsidRPr="003C703C">
        <w:rPr>
          <w:rFonts w:ascii="Times" w:eastAsia="Times New Roman" w:hAnsi="Times" w:cs="Times"/>
          <w:bCs/>
          <w:sz w:val="24"/>
          <w:szCs w:val="24"/>
        </w:rPr>
        <w:t xml:space="preserve">of success </w:t>
      </w:r>
      <w:r w:rsidRPr="003C703C">
        <w:rPr>
          <w:rFonts w:ascii="Times" w:eastAsia="Times New Roman" w:hAnsi="Times" w:cs="Times"/>
          <w:bCs/>
          <w:sz w:val="24"/>
          <w:szCs w:val="24"/>
        </w:rPr>
        <w:t xml:space="preserve">in </w:t>
      </w:r>
      <w:r w:rsidR="00477F75" w:rsidRPr="003C703C">
        <w:rPr>
          <w:rFonts w:ascii="Times" w:eastAsia="Times New Roman" w:hAnsi="Times" w:cs="Times"/>
          <w:bCs/>
          <w:sz w:val="24"/>
          <w:szCs w:val="24"/>
        </w:rPr>
        <w:t>RE projects</w:t>
      </w:r>
      <w:r w:rsidRPr="003C703C">
        <w:rPr>
          <w:rFonts w:ascii="Times" w:eastAsia="Times New Roman" w:hAnsi="Times" w:cs="Times"/>
          <w:bCs/>
          <w:sz w:val="24"/>
          <w:szCs w:val="24"/>
        </w:rPr>
        <w:t>. In fact,</w:t>
      </w:r>
      <w:r w:rsidR="00477F75" w:rsidRPr="003C703C">
        <w:rPr>
          <w:rFonts w:ascii="Times" w:eastAsia="Times New Roman" w:hAnsi="Times" w:cs="Times"/>
          <w:bCs/>
          <w:sz w:val="24"/>
          <w:szCs w:val="24"/>
        </w:rPr>
        <w:t xml:space="preserve"> we learn that there are</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a series of</w:t>
      </w:r>
      <w:r w:rsidRPr="003C703C">
        <w:rPr>
          <w:rFonts w:ascii="Times" w:eastAsia="Times New Roman" w:hAnsi="Times" w:cs="Times"/>
          <w:bCs/>
          <w:sz w:val="24"/>
          <w:szCs w:val="24"/>
        </w:rPr>
        <w:t xml:space="preserve"> non-financial factors</w:t>
      </w:r>
      <w:r w:rsidR="00477F75" w:rsidRPr="003C703C">
        <w:rPr>
          <w:rFonts w:ascii="Times" w:eastAsia="Times New Roman" w:hAnsi="Times" w:cs="Times"/>
          <w:bCs/>
          <w:sz w:val="24"/>
          <w:szCs w:val="24"/>
        </w:rPr>
        <w:t xml:space="preserve"> at play as well</w:t>
      </w:r>
      <w:r w:rsidRPr="003C703C">
        <w:rPr>
          <w:rFonts w:ascii="Times" w:eastAsia="Times New Roman" w:hAnsi="Times" w:cs="Times"/>
          <w:bCs/>
          <w:sz w:val="24"/>
          <w:szCs w:val="24"/>
        </w:rPr>
        <w:t xml:space="preserve">. Results from the LDA and </w:t>
      </w:r>
      <w:r w:rsidR="00477F75" w:rsidRPr="003C703C">
        <w:rPr>
          <w:rFonts w:ascii="Times" w:eastAsia="Times New Roman" w:hAnsi="Times" w:cs="Times"/>
          <w:bCs/>
          <w:sz w:val="24"/>
          <w:szCs w:val="24"/>
        </w:rPr>
        <w:t>N</w:t>
      </w:r>
      <w:r w:rsidRPr="003C703C">
        <w:rPr>
          <w:rFonts w:ascii="Times" w:eastAsia="Times New Roman" w:hAnsi="Times" w:cs="Times"/>
          <w:bCs/>
          <w:sz w:val="24"/>
          <w:szCs w:val="24"/>
        </w:rPr>
        <w:t xml:space="preserve">NMF model show that aside from financial viability, energy </w:t>
      </w:r>
      <w:r w:rsidRPr="003C703C">
        <w:rPr>
          <w:rFonts w:ascii="Times" w:eastAsia="Times New Roman" w:hAnsi="Times" w:cs="Times"/>
          <w:bCs/>
          <w:sz w:val="24"/>
          <w:szCs w:val="24"/>
        </w:rPr>
        <w:lastRenderedPageBreak/>
        <w:t xml:space="preserve">policies, government intervention, community engagement and investor perceptions were strong determinants in driving </w:t>
      </w:r>
      <w:r w:rsidR="00477F75" w:rsidRPr="003C703C">
        <w:rPr>
          <w:rFonts w:ascii="Times" w:eastAsia="Times New Roman" w:hAnsi="Times" w:cs="Times"/>
          <w:bCs/>
          <w:sz w:val="24"/>
          <w:szCs w:val="24"/>
        </w:rPr>
        <w:t>RE project success</w:t>
      </w:r>
      <w:r w:rsidRPr="003C703C">
        <w:rPr>
          <w:rFonts w:ascii="Times" w:eastAsia="Times New Roman" w:hAnsi="Times" w:cs="Times"/>
          <w:bCs/>
          <w:sz w:val="24"/>
          <w:szCs w:val="24"/>
        </w:rPr>
        <w:t xml:space="preserve">. </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5FBB4B0C" w14:textId="77777777" w:rsidR="001B39E7" w:rsidRPr="003C703C" w:rsidRDefault="004A1C68"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We</w:t>
      </w:r>
      <w:r w:rsidR="001B39E7" w:rsidRPr="003C703C">
        <w:rPr>
          <w:rFonts w:ascii="Times" w:eastAsia="Times New Roman" w:hAnsi="Times" w:cs="Times"/>
          <w:bCs/>
          <w:sz w:val="24"/>
          <w:szCs w:val="24"/>
        </w:rPr>
        <w:t xml:space="preserve"> </w:t>
      </w:r>
      <w:r w:rsidR="00E14A6E" w:rsidRPr="003C703C">
        <w:rPr>
          <w:rFonts w:ascii="Times" w:eastAsia="Times New Roman" w:hAnsi="Times" w:cs="Times"/>
          <w:bCs/>
          <w:sz w:val="24"/>
          <w:szCs w:val="24"/>
        </w:rPr>
        <w:t>discuss</w:t>
      </w:r>
      <w:r w:rsidR="001B39E7" w:rsidRPr="003C703C">
        <w:rPr>
          <w:rFonts w:ascii="Times" w:eastAsia="Times New Roman" w:hAnsi="Times" w:cs="Times"/>
          <w:bCs/>
          <w:sz w:val="24"/>
          <w:szCs w:val="24"/>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w:t>
      </w:r>
      <w:proofErr w:type="gramStart"/>
      <w:r w:rsidR="001B39E7" w:rsidRPr="003C703C">
        <w:rPr>
          <w:rFonts w:ascii="Times" w:eastAsia="Times New Roman" w:hAnsi="Times" w:cs="Times"/>
          <w:bCs/>
          <w:sz w:val="24"/>
          <w:szCs w:val="24"/>
        </w:rPr>
        <w:t>long term</w:t>
      </w:r>
      <w:proofErr w:type="gramEnd"/>
      <w:r w:rsidR="001B39E7" w:rsidRPr="003C703C">
        <w:rPr>
          <w:rFonts w:ascii="Times" w:eastAsia="Times New Roman" w:hAnsi="Times" w:cs="Times"/>
          <w:bCs/>
          <w:sz w:val="24"/>
          <w:szCs w:val="24"/>
        </w:rPr>
        <w:t xml:space="preserve"> sustainability of renewable energy implementations. High engagement of the community through the training of locals to take up leadership positions benefits the projects </w:t>
      </w:r>
      <w:proofErr w:type="gramStart"/>
      <w:r w:rsidR="001B39E7" w:rsidRPr="003C703C">
        <w:rPr>
          <w:rFonts w:ascii="Times" w:eastAsia="Times New Roman" w:hAnsi="Times" w:cs="Times"/>
          <w:bCs/>
          <w:sz w:val="24"/>
          <w:szCs w:val="24"/>
        </w:rPr>
        <w:t>and also</w:t>
      </w:r>
      <w:proofErr w:type="gramEnd"/>
      <w:r w:rsidR="001B39E7" w:rsidRPr="003C703C">
        <w:rPr>
          <w:rFonts w:ascii="Times" w:eastAsia="Times New Roman" w:hAnsi="Times" w:cs="Times"/>
          <w:bCs/>
          <w:sz w:val="24"/>
          <w:szCs w:val="24"/>
        </w:rPr>
        <w:t xml:space="preserve"> boosts the overall livelihoods of the community.</w:t>
      </w:r>
      <w:r w:rsidRPr="003C703C">
        <w:rPr>
          <w:rFonts w:ascii="Times" w:eastAsia="Times New Roman" w:hAnsi="Times" w:cs="Times"/>
          <w:bCs/>
          <w:sz w:val="24"/>
          <w:szCs w:val="24"/>
        </w:rPr>
        <w:t xml:space="preserve"> </w:t>
      </w:r>
      <w:r w:rsidR="001B39E7" w:rsidRPr="003C703C">
        <w:rPr>
          <w:rFonts w:ascii="Times" w:eastAsia="Times New Roman" w:hAnsi="Times" w:cs="Times"/>
          <w:bCs/>
          <w:sz w:val="24"/>
          <w:szCs w:val="24"/>
        </w:rPr>
        <w:t xml:space="preserve">Lastly, investor confidence in policies and technologies also impacts decision making. The psychological study of cognitive and </w:t>
      </w:r>
      <w:proofErr w:type="spellStart"/>
      <w:r w:rsidR="001B39E7" w:rsidRPr="003C703C">
        <w:rPr>
          <w:rFonts w:ascii="Times" w:eastAsia="Times New Roman" w:hAnsi="Times" w:cs="Times"/>
          <w:bCs/>
          <w:sz w:val="24"/>
          <w:szCs w:val="24"/>
        </w:rPr>
        <w:t>behavioural</w:t>
      </w:r>
      <w:proofErr w:type="spellEnd"/>
      <w:r w:rsidR="001B39E7" w:rsidRPr="003C703C">
        <w:rPr>
          <w:rFonts w:ascii="Times" w:eastAsia="Times New Roman" w:hAnsi="Times" w:cs="Times"/>
          <w:bCs/>
          <w:sz w:val="24"/>
          <w:szCs w:val="24"/>
        </w:rPr>
        <w:t xml:space="preserve"> attitudes can also be further expounded to understand investor </w:t>
      </w:r>
      <w:proofErr w:type="spellStart"/>
      <w:r w:rsidR="001B39E7" w:rsidRPr="003C703C">
        <w:rPr>
          <w:rFonts w:ascii="Times" w:eastAsia="Times New Roman" w:hAnsi="Times" w:cs="Times"/>
          <w:bCs/>
          <w:sz w:val="24"/>
          <w:szCs w:val="24"/>
        </w:rPr>
        <w:t>behaviour</w:t>
      </w:r>
      <w:proofErr w:type="spellEnd"/>
      <w:r w:rsidR="001B39E7" w:rsidRPr="003C703C">
        <w:rPr>
          <w:rFonts w:ascii="Times" w:eastAsia="Times New Roman" w:hAnsi="Times" w:cs="Times"/>
          <w:bCs/>
          <w:sz w:val="24"/>
          <w:szCs w:val="24"/>
        </w:rPr>
        <w:t xml:space="preserve">. The results show that increasing study on attitudes, social norms and personal norms of investors have the potential to optimize the renewable energy sector and mitigate climate change </w:t>
      </w:r>
    </w:p>
    <w:p w14:paraId="2F3AF23D" w14:textId="77777777" w:rsidR="001B39E7" w:rsidRPr="003C703C" w:rsidRDefault="001B39E7" w:rsidP="003C703C">
      <w:pPr>
        <w:spacing w:before="120"/>
        <w:jc w:val="both"/>
        <w:rPr>
          <w:rFonts w:ascii="Times" w:eastAsia="Times New Roman" w:hAnsi="Times" w:cs="Times"/>
          <w:bCs/>
          <w:sz w:val="24"/>
          <w:szCs w:val="24"/>
        </w:rPr>
      </w:pPr>
    </w:p>
    <w:p w14:paraId="036BD0B3" w14:textId="50BA63D1"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This study has limitations that should be addressed in future research. Firstly, it is constrained by its query phrase search. If relevant articles do not have any of the query phrases “renewable energy success” in their subject, they will not be included in the dataset, which may result in data inconsistency or data bias. Secondly </w:t>
      </w:r>
      <w:r w:rsidR="004A1C68" w:rsidRPr="003C703C">
        <w:rPr>
          <w:rFonts w:ascii="Times" w:eastAsia="Times New Roman" w:hAnsi="Times" w:cs="Times"/>
          <w:bCs/>
          <w:sz w:val="24"/>
          <w:szCs w:val="24"/>
        </w:rPr>
        <w:t>is the</w:t>
      </w:r>
      <w:r w:rsidRPr="003C703C">
        <w:rPr>
          <w:rFonts w:ascii="Times" w:eastAsia="Times New Roman" w:hAnsi="Times" w:cs="Times"/>
          <w:bCs/>
          <w:sz w:val="24"/>
          <w:szCs w:val="24"/>
        </w:rPr>
        <w:t xml:space="preserve"> data size </w:t>
      </w:r>
      <w:r w:rsidR="004A1C68" w:rsidRPr="003C703C">
        <w:rPr>
          <w:rFonts w:ascii="Times" w:eastAsia="Times New Roman" w:hAnsi="Times" w:cs="Times"/>
          <w:bCs/>
          <w:sz w:val="24"/>
          <w:szCs w:val="24"/>
        </w:rPr>
        <w:t>which</w:t>
      </w:r>
      <w:r w:rsidRPr="003C703C">
        <w:rPr>
          <w:rFonts w:ascii="Times" w:eastAsia="Times New Roman" w:hAnsi="Times" w:cs="Times"/>
          <w:bCs/>
          <w:sz w:val="24"/>
          <w:szCs w:val="24"/>
        </w:rPr>
        <w:t xml:space="preserve"> is relatively small with </w:t>
      </w:r>
      <w:proofErr w:type="gramStart"/>
      <w:r w:rsidRPr="003C703C">
        <w:rPr>
          <w:rFonts w:ascii="Times" w:eastAsia="Times New Roman" w:hAnsi="Times" w:cs="Times"/>
          <w:bCs/>
          <w:sz w:val="24"/>
          <w:szCs w:val="24"/>
        </w:rPr>
        <w:t>only  research</w:t>
      </w:r>
      <w:proofErr w:type="gramEnd"/>
      <w:r w:rsidRPr="003C703C">
        <w:rPr>
          <w:rFonts w:ascii="Times" w:eastAsia="Times New Roman" w:hAnsi="Times" w:cs="Times"/>
          <w:bCs/>
          <w:sz w:val="24"/>
          <w:szCs w:val="24"/>
        </w:rPr>
        <w:t xml:space="preserve"> articles. Future studies should include a larger dataset to </w:t>
      </w:r>
      <w:r w:rsidR="004A1C68" w:rsidRPr="003C703C">
        <w:rPr>
          <w:rFonts w:ascii="Times" w:eastAsia="Times New Roman" w:hAnsi="Times" w:cs="Times"/>
          <w:bCs/>
          <w:sz w:val="24"/>
          <w:szCs w:val="24"/>
        </w:rPr>
        <w:t>determine the robustness of the utilized method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sidRPr="003C703C">
        <w:rPr>
          <w:rFonts w:ascii="Times" w:eastAsia="Times New Roman" w:hAnsi="Times" w:cs="Times"/>
          <w:bCs/>
          <w:sz w:val="24"/>
          <w:szCs w:val="24"/>
        </w:rPr>
        <w:t xml:space="preserve">personal bias in </w:t>
      </w:r>
      <w:proofErr w:type="spellStart"/>
      <w:r w:rsidRPr="003C703C">
        <w:rPr>
          <w:rFonts w:ascii="Times" w:eastAsia="Times New Roman" w:hAnsi="Times" w:cs="Times"/>
          <w:bCs/>
          <w:sz w:val="24"/>
          <w:szCs w:val="24"/>
        </w:rPr>
        <w:t>analysing</w:t>
      </w:r>
      <w:proofErr w:type="spellEnd"/>
      <w:r w:rsidRPr="003C703C">
        <w:rPr>
          <w:rFonts w:ascii="Times" w:eastAsia="Times New Roman" w:hAnsi="Times" w:cs="Times"/>
          <w:bCs/>
          <w:sz w:val="24"/>
          <w:szCs w:val="24"/>
        </w:rPr>
        <w:t xml:space="preserve"> the keywords of each topic</w:t>
      </w:r>
      <w:r w:rsidR="004A1C68" w:rsidRPr="003C703C">
        <w:rPr>
          <w:rFonts w:ascii="Times" w:eastAsia="Times New Roman" w:hAnsi="Times" w:cs="Times"/>
          <w:bCs/>
          <w:sz w:val="24"/>
          <w:szCs w:val="24"/>
        </w:rPr>
        <w:t xml:space="preserve"> </w:t>
      </w:r>
      <w:proofErr w:type="gramStart"/>
      <w:r w:rsidR="004A1C68" w:rsidRPr="003C703C">
        <w:rPr>
          <w:rFonts w:ascii="Times" w:eastAsia="Times New Roman" w:hAnsi="Times" w:cs="Times"/>
          <w:bCs/>
          <w:sz w:val="24"/>
          <w:szCs w:val="24"/>
        </w:rPr>
        <w:t>are</w:t>
      </w:r>
      <w:proofErr w:type="gramEnd"/>
      <w:r w:rsidR="004A1C68" w:rsidRPr="003C703C">
        <w:rPr>
          <w:rFonts w:ascii="Times" w:eastAsia="Times New Roman" w:hAnsi="Times" w:cs="Times"/>
          <w:bCs/>
          <w:sz w:val="24"/>
          <w:szCs w:val="24"/>
        </w:rPr>
        <w:t xml:space="preserve"> ever present</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77777777"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Given the complexity of the </w:t>
      </w:r>
      <w:r w:rsidR="004A1C68" w:rsidRPr="003C703C">
        <w:rPr>
          <w:rFonts w:ascii="Times" w:eastAsia="Times New Roman" w:hAnsi="Times" w:cs="Times"/>
          <w:bCs/>
          <w:sz w:val="24"/>
          <w:szCs w:val="24"/>
        </w:rPr>
        <w:t>RE</w:t>
      </w:r>
      <w:r w:rsidRPr="003C703C">
        <w:rPr>
          <w:rFonts w:ascii="Times" w:eastAsia="Times New Roman" w:hAnsi="Times" w:cs="Times"/>
          <w:bCs/>
          <w:sz w:val="24"/>
          <w:szCs w:val="24"/>
        </w:rPr>
        <w:t xml:space="preserve"> sector, the study </w:t>
      </w:r>
      <w:r w:rsidR="004A1C68" w:rsidRPr="003C703C">
        <w:rPr>
          <w:rFonts w:ascii="Times" w:eastAsia="Times New Roman" w:hAnsi="Times" w:cs="Times"/>
          <w:bCs/>
          <w:sz w:val="24"/>
          <w:szCs w:val="24"/>
        </w:rPr>
        <w:t>demonstrates</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 be considered, b</w:t>
      </w:r>
      <w:r w:rsidRPr="003C703C">
        <w:rPr>
          <w:rFonts w:ascii="Times" w:eastAsia="Times New Roman" w:hAnsi="Times" w:cs="Times"/>
          <w:bCs/>
          <w:sz w:val="24"/>
          <w:szCs w:val="24"/>
        </w:rPr>
        <w:t>eyond the technical</w:t>
      </w:r>
      <w:r w:rsidR="004A1C68" w:rsidRPr="003C703C">
        <w:rPr>
          <w:rFonts w:ascii="Times" w:eastAsia="Times New Roman" w:hAnsi="Times" w:cs="Times"/>
          <w:bCs/>
          <w:sz w:val="24"/>
          <w:szCs w:val="24"/>
        </w:rPr>
        <w:t xml:space="preserve"> or</w:t>
      </w:r>
      <w:r w:rsidRPr="003C703C">
        <w:rPr>
          <w:rFonts w:ascii="Times" w:eastAsia="Times New Roman" w:hAnsi="Times" w:cs="Times"/>
          <w:bCs/>
          <w:sz w:val="24"/>
          <w:szCs w:val="24"/>
        </w:rPr>
        <w:t xml:space="preserve"> financial </w:t>
      </w:r>
      <w:r w:rsidR="004A1C68" w:rsidRPr="003C703C">
        <w:rPr>
          <w:rFonts w:ascii="Times" w:eastAsia="Times New Roman" w:hAnsi="Times" w:cs="Times"/>
          <w:bCs/>
          <w:sz w:val="24"/>
          <w:szCs w:val="24"/>
        </w:rPr>
        <w:t>consideration. Indeed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157E76A2" w14:textId="77777777" w:rsidR="00104F10" w:rsidRDefault="002018B9" w:rsidP="00104F10">
              <w:pPr>
                <w:pStyle w:val="Bibliography"/>
                <w:ind w:left="720" w:hanging="720"/>
                <w:rPr>
                  <w:noProof/>
                  <w:sz w:val="24"/>
                  <w:szCs w:val="24"/>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r w:rsidR="00104F10">
                <w:rPr>
                  <w:noProof/>
                </w:rPr>
                <w:t xml:space="preserve">Jai, S. (n.d.). </w:t>
              </w:r>
              <w:r w:rsidR="00104F10">
                <w:rPr>
                  <w:i/>
                  <w:iCs/>
                  <w:noProof/>
                </w:rPr>
                <w:t>Indian renewable firms underperformed but credit quality intact: Moody's</w:t>
              </w:r>
              <w:r w:rsidR="00104F10">
                <w:rPr>
                  <w:noProof/>
                </w:rPr>
                <w:t>. Retrieved from Business News, Finance News, India News, BSE/NSE News, Stock Markets News, Sensex NIFTY, Latest Breaking News Headlines.: https://www.business-standard.com/article/companies/indian-renewable-firms-underperformed-but-credit-quality-intact-moody-s-121030901082_1.html#:~:text=%22About%2015%2D20%20per%20cent,the%20underperformance%20respectively%2C%E2%80%9D%20says%20Abhishek</w:t>
              </w:r>
            </w:p>
            <w:p w14:paraId="2F99F1BB" w14:textId="77777777" w:rsidR="00104F10" w:rsidRDefault="00104F10" w:rsidP="00104F10">
              <w:pPr>
                <w:pStyle w:val="Bibliography"/>
                <w:ind w:left="720" w:hanging="720"/>
                <w:rPr>
                  <w:noProof/>
                </w:rPr>
              </w:pPr>
              <w:r>
                <w:rPr>
                  <w:noProof/>
                </w:rPr>
                <w:t xml:space="preserve">Kealy, T. (2015). Does an embedded wind turbine reduce a company’s electricity bill? Case study of a 300 kW wind turbine in Ireland. </w:t>
              </w:r>
              <w:r>
                <w:rPr>
                  <w:i/>
                  <w:iCs/>
                  <w:noProof/>
                </w:rPr>
                <w:t>Journal of Business Ethics, 145</w:t>
              </w:r>
              <w:r>
                <w:rPr>
                  <w:noProof/>
                </w:rPr>
                <w:t>(2), 417-428. doi:https://doi.org/10.1007/s10551-015-2837-4</w:t>
              </w:r>
            </w:p>
            <w:p w14:paraId="3FDB5459" w14:textId="77777777" w:rsidR="00104F10" w:rsidRDefault="00104F10" w:rsidP="00104F10">
              <w:pPr>
                <w:pStyle w:val="Bibliography"/>
                <w:ind w:left="720" w:hanging="720"/>
                <w:rPr>
                  <w:noProof/>
                </w:rPr>
              </w:pPr>
              <w:r>
                <w:rPr>
                  <w:noProof/>
                </w:rPr>
                <w:t xml:space="preserve">Jacobsson, S., &amp; Johnson, A. (2000). The diffusion of renewable energy technology: An analytical framework and key issues for research. </w:t>
              </w:r>
              <w:r>
                <w:rPr>
                  <w:i/>
                  <w:iCs/>
                  <w:noProof/>
                </w:rPr>
                <w:t>Energy Policy, 28</w:t>
              </w:r>
              <w:r>
                <w:rPr>
                  <w:noProof/>
                </w:rPr>
                <w:t>(9), 625-640. doi:https://doi.org/10.1016/S0301-4215(00)00041-0</w:t>
              </w:r>
            </w:p>
            <w:p w14:paraId="5C3FA3C3" w14:textId="77777777" w:rsidR="00104F10" w:rsidRDefault="00104F10" w:rsidP="00104F10">
              <w:pPr>
                <w:pStyle w:val="Bibliography"/>
                <w:ind w:left="720" w:hanging="720"/>
                <w:rPr>
                  <w:noProof/>
                </w:rPr>
              </w:pPr>
              <w:r>
                <w:rPr>
                  <w:noProof/>
                </w:rPr>
                <w:t xml:space="preserve">Jagadeesh, A. (2000). Wind energy development in Tamil Nadu and Andhra Pradesh, India institutional dynamics and barriers — A case study. </w:t>
              </w:r>
              <w:r>
                <w:rPr>
                  <w:i/>
                  <w:iCs/>
                  <w:noProof/>
                </w:rPr>
                <w:t>Energy Policy, 28</w:t>
              </w:r>
              <w:r>
                <w:rPr>
                  <w:noProof/>
                </w:rPr>
                <w:t>(3), 157-168. doi:https://doi.org/10.1016/s0301-4215(00)00007-0</w:t>
              </w:r>
            </w:p>
            <w:p w14:paraId="107A49FB" w14:textId="77777777" w:rsidR="00104F10" w:rsidRDefault="00104F10" w:rsidP="00104F10">
              <w:pPr>
                <w:pStyle w:val="Bibliography"/>
                <w:ind w:left="720" w:hanging="720"/>
                <w:rPr>
                  <w:noProof/>
                </w:rPr>
              </w:pPr>
              <w:r>
                <w:rPr>
                  <w:noProof/>
                </w:rPr>
                <w:t xml:space="preserve">Bradshaw, G. A., &amp; Borchers, J. G. (2000). Uncertainty as information: Narrowing the science-policy gap. </w:t>
              </w:r>
              <w:r>
                <w:rPr>
                  <w:i/>
                  <w:iCs/>
                  <w:noProof/>
                </w:rPr>
                <w:t>Conservation Ecology, 4</w:t>
              </w:r>
              <w:r>
                <w:rPr>
                  <w:noProof/>
                </w:rPr>
                <w:t>(1). doi:https://doi.org/10.5751/es-00174-040107</w:t>
              </w:r>
            </w:p>
            <w:p w14:paraId="3E74E95E" w14:textId="77777777" w:rsidR="00104F10" w:rsidRDefault="00104F10" w:rsidP="00104F10">
              <w:pPr>
                <w:pStyle w:val="Bibliography"/>
                <w:ind w:left="720" w:hanging="720"/>
                <w:rPr>
                  <w:noProof/>
                </w:rPr>
              </w:pPr>
              <w:r>
                <w:rPr>
                  <w:noProof/>
                </w:rPr>
                <w:t xml:space="preserve">Ramage, D., Rosen, E., Chuang, J., Manning, C. D., &amp; McFarland, D. A. (2009). Topic modeling for the social sciences. </w:t>
              </w:r>
              <w:r>
                <w:rPr>
                  <w:i/>
                  <w:iCs/>
                  <w:noProof/>
                </w:rPr>
                <w:t>NIPS 2009 workshop on applications for topic models: text and beyond, 5</w:t>
              </w:r>
              <w:r>
                <w:rPr>
                  <w:noProof/>
                </w:rPr>
                <w:t>, 1-4.</w:t>
              </w:r>
            </w:p>
            <w:p w14:paraId="2629840E" w14:textId="77777777" w:rsidR="00104F10" w:rsidRDefault="00104F10" w:rsidP="00104F10">
              <w:pPr>
                <w:pStyle w:val="Bibliography"/>
                <w:ind w:left="720" w:hanging="720"/>
                <w:rPr>
                  <w:noProof/>
                </w:rPr>
              </w:pPr>
              <w:r>
                <w:rPr>
                  <w:noProof/>
                </w:rPr>
                <w:t xml:space="preserve">Shrimali, G., Goel, S., Srinivasan, S., &amp; Neslon, D. (2014). </w:t>
              </w:r>
              <w:r>
                <w:rPr>
                  <w:i/>
                  <w:iCs/>
                  <w:noProof/>
                </w:rPr>
                <w:t>Solving India’s renewable energy financing challenge: Which federal policies can be most effective?</w:t>
              </w:r>
              <w:r>
                <w:rPr>
                  <w:noProof/>
                </w:rPr>
                <w:t xml:space="preserve"> CPI-ISB Series.</w:t>
              </w:r>
            </w:p>
            <w:p w14:paraId="21BBDCD0" w14:textId="77777777" w:rsidR="00104F10" w:rsidRDefault="00104F10" w:rsidP="00104F10">
              <w:pPr>
                <w:pStyle w:val="Bibliography"/>
                <w:ind w:left="720" w:hanging="720"/>
                <w:rPr>
                  <w:noProof/>
                </w:rPr>
              </w:pPr>
              <w:r>
                <w:rPr>
                  <w:noProof/>
                </w:rPr>
                <w:t xml:space="preserve">West, J., Bailey, I., &amp; Winter, M. (2010). Renewable energy policy and public perceptions of renewable energy: A cultural theory approach. </w:t>
              </w:r>
              <w:r>
                <w:rPr>
                  <w:i/>
                  <w:iCs/>
                  <w:noProof/>
                </w:rPr>
                <w:t>Energy Policy, 38</w:t>
              </w:r>
              <w:r>
                <w:rPr>
                  <w:noProof/>
                </w:rPr>
                <w:t>(10), 5739-5748.</w:t>
              </w:r>
            </w:p>
            <w:p w14:paraId="3F12D53B" w14:textId="77777777" w:rsidR="00104F10" w:rsidRDefault="00104F10" w:rsidP="00104F10">
              <w:pPr>
                <w:pStyle w:val="Bibliography"/>
                <w:ind w:left="720" w:hanging="720"/>
                <w:rPr>
                  <w:noProof/>
                </w:rPr>
              </w:pPr>
              <w:r>
                <w:rPr>
                  <w:noProof/>
                </w:rPr>
                <w:lastRenderedPageBreak/>
                <w:t xml:space="preserve">Masini, A., &amp; Menichetti, E. (2013). Investment Decisions in the Renewable Energy Sector: An Analysis of Non-Financial Drivers. </w:t>
              </w:r>
              <w:r>
                <w:rPr>
                  <w:i/>
                  <w:iCs/>
                  <w:noProof/>
                </w:rPr>
                <w:t>Technological Forecasting and Social Change, 80</w:t>
              </w:r>
              <w:r>
                <w:rPr>
                  <w:noProof/>
                </w:rPr>
                <w:t>(3), 510-524.</w:t>
              </w:r>
            </w:p>
            <w:p w14:paraId="508AFEB7" w14:textId="77777777" w:rsidR="00104F10" w:rsidRDefault="00104F10" w:rsidP="00104F10">
              <w:pPr>
                <w:pStyle w:val="Bibliography"/>
                <w:ind w:left="720" w:hanging="720"/>
                <w:rPr>
                  <w:noProof/>
                </w:rPr>
              </w:pPr>
              <w:r>
                <w:rPr>
                  <w:noProof/>
                </w:rPr>
                <w:t xml:space="preserve">Maqbool, R., Rashid, Y., Sultana, S., &amp; Sudong, Y. (2018). Identifying the critical success factors and their relevant aspects for renewable energy projects; An empirical perspective. </w:t>
              </w:r>
              <w:r>
                <w:rPr>
                  <w:i/>
                  <w:iCs/>
                  <w:noProof/>
                </w:rPr>
                <w:t>Journal of Civil Engineering and Management, 24</w:t>
              </w:r>
              <w:r>
                <w:rPr>
                  <w:noProof/>
                </w:rPr>
                <w:t>(3), 223-237.</w:t>
              </w:r>
            </w:p>
            <w:p w14:paraId="7F5A9ADA" w14:textId="77777777" w:rsidR="00104F10" w:rsidRDefault="00104F10" w:rsidP="00104F10">
              <w:pPr>
                <w:pStyle w:val="Bibliography"/>
                <w:ind w:left="720" w:hanging="720"/>
                <w:rPr>
                  <w:noProof/>
                </w:rPr>
              </w:pPr>
              <w:r>
                <w:rPr>
                  <w:noProof/>
                </w:rPr>
                <w:t xml:space="preserve">Bickel, M. W. (2019). Reflecting trends in the academic landscape of sustainable energy using probabilistic topic modeling. </w:t>
              </w:r>
              <w:r>
                <w:rPr>
                  <w:i/>
                  <w:iCs/>
                  <w:noProof/>
                </w:rPr>
                <w:t>Energy, Sustainability and Society, 9</w:t>
              </w:r>
              <w:r>
                <w:rPr>
                  <w:noProof/>
                </w:rPr>
                <w:t>(49).</w:t>
              </w:r>
            </w:p>
            <w:p w14:paraId="51F39E5F" w14:textId="77777777" w:rsidR="00104F10" w:rsidRDefault="00104F10" w:rsidP="00104F10">
              <w:pPr>
                <w:pStyle w:val="Bibliography"/>
                <w:ind w:left="720" w:hanging="720"/>
                <w:rPr>
                  <w:noProof/>
                </w:rPr>
              </w:pPr>
              <w:r>
                <w:rPr>
                  <w:noProof/>
                </w:rPr>
                <w:t xml:space="preserve">Bird, S., Klein, E., &amp; Loper, E. (2009). </w:t>
              </w:r>
              <w:r>
                <w:rPr>
                  <w:i/>
                  <w:iCs/>
                  <w:noProof/>
                </w:rPr>
                <w:t>Natural Language Processing with Python: Analyzing Text with the Natural Language Toolkit.</w:t>
              </w:r>
              <w:r>
                <w:rPr>
                  <w:noProof/>
                </w:rPr>
                <w:t xml:space="preserve"> O'Reilly Media, Inc.</w:t>
              </w:r>
            </w:p>
            <w:p w14:paraId="0A0F820D" w14:textId="77777777" w:rsidR="00104F10" w:rsidRDefault="00104F10" w:rsidP="00104F10">
              <w:pPr>
                <w:pStyle w:val="Bibliography"/>
                <w:ind w:left="720" w:hanging="720"/>
                <w:rPr>
                  <w:noProof/>
                </w:rPr>
              </w:pPr>
              <w:r>
                <w:rPr>
                  <w:noProof/>
                </w:rPr>
                <w:t xml:space="preserve">Kapadia, S. (2019, April). </w:t>
              </w:r>
              <w:r>
                <w:rPr>
                  <w:i/>
                  <w:iCs/>
                  <w:noProof/>
                </w:rPr>
                <w:t>Topic Modeling in Python: Latent Dirichlet Allocation (LDA)</w:t>
              </w:r>
              <w:r>
                <w:rPr>
                  <w:noProof/>
                </w:rPr>
                <w:t>. Retrieved from https://towardsdatascience.com/end-to-end-topic-modeling-in-python-latent-dirichlet-allocation-lda-35ce4ed6b3e0</w:t>
              </w:r>
            </w:p>
            <w:p w14:paraId="0FFCD08B" w14:textId="77777777" w:rsidR="00104F10" w:rsidRDefault="00104F10" w:rsidP="00104F10">
              <w:pPr>
                <w:pStyle w:val="Bibliography"/>
                <w:ind w:left="720" w:hanging="720"/>
                <w:rPr>
                  <w:noProof/>
                </w:rPr>
              </w:pPr>
              <w:r>
                <w:rPr>
                  <w:noProof/>
                </w:rPr>
                <w:t xml:space="preserve">Prabhakaran, S. (2018). </w:t>
              </w:r>
              <w:r>
                <w:rPr>
                  <w:i/>
                  <w:iCs/>
                  <w:noProof/>
                </w:rPr>
                <w:t>Topic Modeling with Gensim (Python)</w:t>
              </w:r>
              <w:r>
                <w:rPr>
                  <w:noProof/>
                </w:rPr>
                <w:t>. Retrieved from https://www.machinelearningplus.com/nlp/topic-modeling-gensim-python/</w:t>
              </w:r>
            </w:p>
            <w:p w14:paraId="70D9113A" w14:textId="77777777" w:rsidR="00104F10" w:rsidRDefault="00104F10" w:rsidP="00104F10">
              <w:pPr>
                <w:pStyle w:val="Bibliography"/>
                <w:ind w:left="720" w:hanging="720"/>
                <w:rPr>
                  <w:noProof/>
                </w:rPr>
              </w:pPr>
              <w:r>
                <w:rPr>
                  <w:noProof/>
                </w:rPr>
                <w:t xml:space="preserve">Sievert, C., &amp; Shirley, K. E. (2014). LDAvis: A method for visualizing and interpreting topics. </w:t>
              </w:r>
              <w:r>
                <w:rPr>
                  <w:i/>
                  <w:iCs/>
                  <w:noProof/>
                </w:rPr>
                <w:t>Proceedings of the Workshop on Interactive Language Learning, Visualization, and Interfaces.</w:t>
              </w:r>
              <w:r>
                <w:rPr>
                  <w:noProof/>
                </w:rPr>
                <w:t xml:space="preserve"> Baltimore, Maryland, USA.</w:t>
              </w:r>
            </w:p>
            <w:p w14:paraId="5276C8C4" w14:textId="77777777" w:rsidR="00104F10" w:rsidRDefault="00104F10" w:rsidP="00104F10">
              <w:pPr>
                <w:pStyle w:val="Bibliography"/>
                <w:ind w:left="720" w:hanging="720"/>
                <w:rPr>
                  <w:noProof/>
                </w:rPr>
              </w:pPr>
              <w:r>
                <w:rPr>
                  <w:noProof/>
                </w:rPr>
                <w:t xml:space="preserve">Mifrah, S., &amp; Benlahmar, E. H. (2020). Topic modeling coherence: A comparative study between LDA and NMF models using COVID’19 corpus. </w:t>
              </w:r>
              <w:r>
                <w:rPr>
                  <w:i/>
                  <w:iCs/>
                  <w:noProof/>
                </w:rPr>
                <w:t>International Journal of Advanced Trends in Computer Science and Engineering, 9</w:t>
              </w:r>
              <w:r>
                <w:rPr>
                  <w:noProof/>
                </w:rPr>
                <w:t>(4), 5756-5761.</w:t>
              </w:r>
            </w:p>
            <w:p w14:paraId="3200FA38" w14:textId="77777777" w:rsidR="00104F10" w:rsidRDefault="00104F10" w:rsidP="00104F10">
              <w:pPr>
                <w:pStyle w:val="Bibliography"/>
                <w:ind w:left="720" w:hanging="720"/>
                <w:rPr>
                  <w:noProof/>
                </w:rPr>
              </w:pPr>
              <w:r>
                <w:rPr>
                  <w:noProof/>
                </w:rPr>
                <w:t xml:space="preserve">International Energy Agency. (n.d.). </w:t>
              </w:r>
              <w:r>
                <w:rPr>
                  <w:i/>
                  <w:iCs/>
                  <w:noProof/>
                </w:rPr>
                <w:t>Energy Subsidies - Topics</w:t>
              </w:r>
              <w:r>
                <w:rPr>
                  <w:noProof/>
                </w:rPr>
                <w:t>. Retrieved from https://www.iea.org/topics/energy-subsidies</w:t>
              </w:r>
            </w:p>
            <w:p w14:paraId="6A8C0936" w14:textId="77777777" w:rsidR="00104F10" w:rsidRDefault="00104F10" w:rsidP="00104F10">
              <w:pPr>
                <w:pStyle w:val="Bibliography"/>
                <w:ind w:left="720" w:hanging="720"/>
                <w:rPr>
                  <w:noProof/>
                </w:rPr>
              </w:pPr>
              <w:r>
                <w:rPr>
                  <w:noProof/>
                </w:rPr>
                <w:t xml:space="preserve">U.S. Department of Energy. (2021). </w:t>
              </w:r>
              <w:r>
                <w:rPr>
                  <w:i/>
                  <w:iCs/>
                  <w:noProof/>
                </w:rPr>
                <w:t>Federal agency use of renewable electric energy</w:t>
              </w:r>
              <w:r>
                <w:rPr>
                  <w:noProof/>
                </w:rPr>
                <w:t>. Retrieved from https://www.energy.gov/eere/femp/federal-agency-use-renewable-electric-energy</w:t>
              </w:r>
            </w:p>
            <w:p w14:paraId="194A58C7" w14:textId="77777777" w:rsidR="00104F10" w:rsidRDefault="00104F10" w:rsidP="00104F10">
              <w:pPr>
                <w:pStyle w:val="Bibliography"/>
                <w:ind w:left="720" w:hanging="720"/>
                <w:rPr>
                  <w:noProof/>
                </w:rPr>
              </w:pPr>
              <w:r>
                <w:rPr>
                  <w:noProof/>
                </w:rPr>
                <w:t xml:space="preserve">Center for Climate and Energy Solutions. (2021). </w:t>
              </w:r>
              <w:r>
                <w:rPr>
                  <w:i/>
                  <w:iCs/>
                  <w:noProof/>
                </w:rPr>
                <w:t>Renewable energy</w:t>
              </w:r>
              <w:r>
                <w:rPr>
                  <w:noProof/>
                </w:rPr>
                <w:t>. Retrieved from https://www.c2es.org/content/renewable-energy/</w:t>
              </w:r>
            </w:p>
            <w:p w14:paraId="543C7CF2" w14:textId="77777777" w:rsidR="00104F10" w:rsidRDefault="00104F10" w:rsidP="00104F10">
              <w:pPr>
                <w:pStyle w:val="Bibliography"/>
                <w:ind w:left="720" w:hanging="720"/>
                <w:rPr>
                  <w:noProof/>
                </w:rPr>
              </w:pPr>
              <w:r>
                <w:rPr>
                  <w:noProof/>
                </w:rPr>
                <w:t xml:space="preserve">Tan, A. (2019). </w:t>
              </w:r>
              <w:r>
                <w:rPr>
                  <w:i/>
                  <w:iCs/>
                  <w:noProof/>
                </w:rPr>
                <w:t>Singapore to ramp up solar energy production to power 350,000 homes by 2030.</w:t>
              </w:r>
              <w:r>
                <w:rPr>
                  <w:noProof/>
                </w:rPr>
                <w:t xml:space="preserve"> Singapore: Straits Times. Retrieved from https://www.straitstimes.com/singapore/environment/solar-energy-to-meet-4-of-singapores-energy-demand-by-2030-up-from-less-than-1</w:t>
              </w:r>
            </w:p>
            <w:p w14:paraId="2F9221AA" w14:textId="77777777" w:rsidR="00104F10" w:rsidRDefault="00104F10" w:rsidP="00104F10">
              <w:pPr>
                <w:pStyle w:val="Bibliography"/>
                <w:ind w:left="720" w:hanging="720"/>
                <w:rPr>
                  <w:noProof/>
                </w:rPr>
              </w:pPr>
              <w:r>
                <w:rPr>
                  <w:noProof/>
                </w:rPr>
                <w:t xml:space="preserve">Office of Energy Efficiency and Renewable Energy. (n.d.). </w:t>
              </w:r>
              <w:r>
                <w:rPr>
                  <w:i/>
                  <w:iCs/>
                  <w:noProof/>
                </w:rPr>
                <w:t>Weatherization and Intergovernmental Programs Office State Energy Program</w:t>
              </w:r>
              <w:r>
                <w:rPr>
                  <w:noProof/>
                </w:rPr>
                <w:t>. Retrieved February 2022, from https://www.energy.gov/eere/wipo/about-state-energy-program</w:t>
              </w:r>
            </w:p>
            <w:p w14:paraId="142230C1" w14:textId="77777777" w:rsidR="00104F10" w:rsidRDefault="00104F10" w:rsidP="00104F10">
              <w:pPr>
                <w:pStyle w:val="Bibliography"/>
                <w:ind w:left="720" w:hanging="720"/>
                <w:rPr>
                  <w:noProof/>
                </w:rPr>
              </w:pPr>
              <w:r>
                <w:rPr>
                  <w:noProof/>
                </w:rPr>
                <w:t xml:space="preserve">Sundaram, S. (2016). The Sustainability of Solar PV Governance: A Comparative International Perspective. In </w:t>
              </w:r>
              <w:r>
                <w:rPr>
                  <w:i/>
                  <w:iCs/>
                  <w:noProof/>
                </w:rPr>
                <w:t>Solar Photovoltaic Technology Production</w:t>
              </w:r>
              <w:r>
                <w:rPr>
                  <w:noProof/>
                </w:rPr>
                <w:t xml:space="preserve"> (pp. 47-74).</w:t>
              </w:r>
            </w:p>
            <w:p w14:paraId="7EB52637" w14:textId="77777777" w:rsidR="00104F10" w:rsidRDefault="00104F10" w:rsidP="00104F10">
              <w:pPr>
                <w:pStyle w:val="Bibliography"/>
                <w:ind w:left="720" w:hanging="720"/>
                <w:rPr>
                  <w:noProof/>
                </w:rPr>
              </w:pPr>
              <w:r>
                <w:rPr>
                  <w:noProof/>
                </w:rPr>
                <w:t xml:space="preserve">The Ministry of Energy and Mines of the Lao People’s Democratic Republic, Ministry of Energy of the Kingdom of Thailand, Ministry of Energy, Green Technology and Water of Malaysia, and Ministry of Trade and Industry of the Republic of Singapore. (2014). </w:t>
              </w:r>
              <w:r>
                <w:rPr>
                  <w:i/>
                  <w:iCs/>
                  <w:noProof/>
                </w:rPr>
                <w:t>LAO PDR, MALAYSIA, SINGAPORE, THAILAND: Joint Statement of the Lao PDR, Thailand, Malaysia and Singapore Power Integration Project (LTMS PIP).</w:t>
              </w:r>
              <w:r>
                <w:rPr>
                  <w:noProof/>
                </w:rPr>
                <w:t xml:space="preserve"> Retrieved 2022, from https://policy.asiapacificenergy.org/node/2574</w:t>
              </w:r>
            </w:p>
            <w:p w14:paraId="0687FE7A" w14:textId="77777777" w:rsidR="00104F10" w:rsidRDefault="00104F10" w:rsidP="00104F10">
              <w:pPr>
                <w:pStyle w:val="Bibliography"/>
                <w:ind w:left="720" w:hanging="720"/>
                <w:rPr>
                  <w:noProof/>
                </w:rPr>
              </w:pPr>
              <w:r>
                <w:rPr>
                  <w:noProof/>
                </w:rPr>
                <w:t xml:space="preserve">Gordonnat, J., &amp; Hunt, J. (2020). Subsea cable key challenges of an intercontinental power link: case study of Australia–Singapore interconnector. </w:t>
              </w:r>
              <w:r>
                <w:rPr>
                  <w:i/>
                  <w:iCs/>
                  <w:noProof/>
                </w:rPr>
                <w:t>Energy Transitions, 4</w:t>
              </w:r>
              <w:r>
                <w:rPr>
                  <w:noProof/>
                </w:rPr>
                <w:t>(2), 169-188.</w:t>
              </w:r>
            </w:p>
            <w:p w14:paraId="2A3A306A" w14:textId="77777777" w:rsidR="00104F10" w:rsidRDefault="00104F10" w:rsidP="00104F10">
              <w:pPr>
                <w:pStyle w:val="Bibliography"/>
                <w:ind w:left="720" w:hanging="720"/>
                <w:rPr>
                  <w:noProof/>
                </w:rPr>
              </w:pPr>
              <w:r>
                <w:rPr>
                  <w:noProof/>
                </w:rPr>
                <w:t xml:space="preserve">Butchers, J., Williamson, S., &amp; Booker, J. (2021). Micro-hydropower in Nepal: Analysing the project process to understand drivers that strengthen and weaken sustainability. </w:t>
              </w:r>
              <w:r>
                <w:rPr>
                  <w:i/>
                  <w:iCs/>
                  <w:noProof/>
                </w:rPr>
                <w:t>Sustainability, 13</w:t>
              </w:r>
              <w:r>
                <w:rPr>
                  <w:noProof/>
                </w:rPr>
                <w:t>(3), 1582.</w:t>
              </w:r>
            </w:p>
            <w:p w14:paraId="15601ECA" w14:textId="77777777" w:rsidR="00104F10" w:rsidRDefault="00104F10" w:rsidP="00104F10">
              <w:pPr>
                <w:pStyle w:val="Bibliography"/>
                <w:ind w:left="720" w:hanging="720"/>
                <w:rPr>
                  <w:noProof/>
                </w:rPr>
              </w:pPr>
              <w:r>
                <w:rPr>
                  <w:noProof/>
                </w:rPr>
                <w:t xml:space="preserve">Hermawati, W., &amp; Rosaira, I. (2017). Key success factors of renewable energy projects implementation in rural areas of Indonesia. </w:t>
              </w:r>
              <w:r>
                <w:rPr>
                  <w:i/>
                  <w:iCs/>
                  <w:noProof/>
                </w:rPr>
                <w:t>STI Policy and Management Journal, 2</w:t>
              </w:r>
              <w:r>
                <w:rPr>
                  <w:noProof/>
                </w:rPr>
                <w:t>(2), 111.</w:t>
              </w:r>
            </w:p>
            <w:p w14:paraId="2389DB6A" w14:textId="77777777" w:rsidR="00104F10" w:rsidRDefault="00104F10" w:rsidP="00104F10">
              <w:pPr>
                <w:pStyle w:val="Bibliography"/>
                <w:ind w:left="720" w:hanging="720"/>
                <w:rPr>
                  <w:noProof/>
                </w:rPr>
              </w:pPr>
              <w:r>
                <w:rPr>
                  <w:noProof/>
                </w:rPr>
                <w:t xml:space="preserve">Inchauspe, J., Ripple, R. D., &amp; Truck, S. (2016). The Dynamics of Returns on Renewable Energy Companies: A State-Space Approach. </w:t>
              </w:r>
              <w:r>
                <w:rPr>
                  <w:i/>
                  <w:iCs/>
                  <w:noProof/>
                </w:rPr>
                <w:t>Energy Economics, Vol. 48, 2015</w:t>
              </w:r>
              <w:r>
                <w:rPr>
                  <w:noProof/>
                </w:rPr>
                <w:t>, 22.</w:t>
              </w:r>
            </w:p>
            <w:p w14:paraId="7AB3358A" w14:textId="77777777" w:rsidR="00104F10" w:rsidRDefault="00104F10" w:rsidP="00104F10">
              <w:pPr>
                <w:pStyle w:val="Bibliography"/>
                <w:ind w:left="720" w:hanging="720"/>
                <w:rPr>
                  <w:noProof/>
                </w:rPr>
              </w:pPr>
              <w:r>
                <w:rPr>
                  <w:noProof/>
                </w:rPr>
                <w:t xml:space="preserve">Wong, L. (2022). </w:t>
              </w:r>
              <w:r>
                <w:rPr>
                  <w:i/>
                  <w:iCs/>
                  <w:noProof/>
                </w:rPr>
                <w:t>Speech: D. Advance Our Green Transition</w:t>
              </w:r>
              <w:r>
                <w:rPr>
                  <w:noProof/>
                </w:rPr>
                <w:t>. Retrieved from Ministry of finance: https://www.mof.gov.sg/singaporebudget/budget-2022/budget-statement/d-advance-our-green-transition</w:t>
              </w:r>
            </w:p>
            <w:p w14:paraId="4819ECA3" w14:textId="77777777" w:rsidR="00104F10" w:rsidRDefault="00104F10" w:rsidP="00104F10">
              <w:pPr>
                <w:pStyle w:val="Bibliography"/>
                <w:ind w:left="720" w:hanging="720"/>
                <w:rPr>
                  <w:noProof/>
                </w:rPr>
              </w:pPr>
              <w:r>
                <w:rPr>
                  <w:noProof/>
                </w:rPr>
                <w:t xml:space="preserve">Alley, A. (2020, October 6). </w:t>
              </w:r>
              <w:r>
                <w:rPr>
                  <w:i/>
                  <w:iCs/>
                  <w:noProof/>
                </w:rPr>
                <w:t>Facebook signs 100MW PPA with Singapore's Sunseap for rooftop solar project</w:t>
              </w:r>
              <w:r>
                <w:rPr>
                  <w:noProof/>
                </w:rPr>
                <w:t>. Retrieved from Data Centre Dynamics: https://www.datacenterdynamics.com/en/news/facebook-signs-100mw-ppa-singapores-sunseap-rooftop-solar-project/</w:t>
              </w:r>
            </w:p>
            <w:p w14:paraId="25980CA6" w14:textId="77777777" w:rsidR="00104F10" w:rsidRDefault="00104F10" w:rsidP="00104F10">
              <w:pPr>
                <w:pStyle w:val="Bibliography"/>
                <w:ind w:left="720" w:hanging="720"/>
                <w:rPr>
                  <w:noProof/>
                </w:rPr>
              </w:pPr>
              <w:r>
                <w:rPr>
                  <w:noProof/>
                </w:rPr>
                <w:t xml:space="preserve">Jami, A. A., &amp; Walsh , P. R. (2016). Wind Power Deployment: The Role of Public Participation in the Decision-Making Process in Ontario, Canada. </w:t>
              </w:r>
              <w:r>
                <w:rPr>
                  <w:i/>
                  <w:iCs/>
                  <w:noProof/>
                </w:rPr>
                <w:t>Renewable Energy</w:t>
              </w:r>
              <w:r>
                <w:rPr>
                  <w:noProof/>
                </w:rPr>
                <w:t>.</w:t>
              </w:r>
            </w:p>
            <w:p w14:paraId="5529F134" w14:textId="77777777" w:rsidR="00104F10" w:rsidRDefault="00104F10" w:rsidP="00104F10">
              <w:pPr>
                <w:pStyle w:val="Bibliography"/>
                <w:ind w:left="720" w:hanging="720"/>
                <w:rPr>
                  <w:noProof/>
                </w:rPr>
              </w:pPr>
              <w:r>
                <w:rPr>
                  <w:noProof/>
                </w:rPr>
                <w:t xml:space="preserve">Upretia, B. R., &amp; Horst, D. v. (2003). National renewable energy policy and local opposition in the UK:the failed development of a biomass electricity plant. </w:t>
              </w:r>
              <w:r>
                <w:rPr>
                  <w:i/>
                  <w:iCs/>
                  <w:noProof/>
                </w:rPr>
                <w:t>Biomass and Energy 26 (2004) 61-69</w:t>
              </w:r>
              <w:r>
                <w:rPr>
                  <w:noProof/>
                </w:rPr>
                <w:t>.</w:t>
              </w:r>
            </w:p>
            <w:p w14:paraId="45173ADF" w14:textId="77777777" w:rsidR="00104F10" w:rsidRDefault="00104F10" w:rsidP="00104F10">
              <w:pPr>
                <w:pStyle w:val="Bibliography"/>
                <w:ind w:left="720" w:hanging="720"/>
                <w:rPr>
                  <w:noProof/>
                </w:rPr>
              </w:pPr>
              <w:r>
                <w:rPr>
                  <w:noProof/>
                </w:rPr>
                <w:t xml:space="preserve">AsareObeng-Darko, N. (2019). Why Ghana will not achieve its renewable energy target for electricity. Policy, legal and regulatory implications. </w:t>
              </w:r>
              <w:r>
                <w:rPr>
                  <w:i/>
                  <w:iCs/>
                  <w:noProof/>
                </w:rPr>
                <w:t>Energy Policy</w:t>
              </w:r>
              <w:r>
                <w:rPr>
                  <w:noProof/>
                </w:rPr>
                <w:t>, 128:75-83.</w:t>
              </w:r>
            </w:p>
            <w:p w14:paraId="273A54D4" w14:textId="77777777" w:rsidR="00104F10" w:rsidRDefault="00104F10" w:rsidP="00104F10">
              <w:pPr>
                <w:pStyle w:val="Bibliography"/>
                <w:ind w:left="720" w:hanging="720"/>
                <w:rPr>
                  <w:noProof/>
                </w:rPr>
              </w:pPr>
              <w:r>
                <w:rPr>
                  <w:noProof/>
                </w:rPr>
                <w:t xml:space="preserve">Rogers Kipkoech, Takase, M., &amp; Afrifa, E. K. (2022). Renewable Energies in Ghana in Relation to Market Condition, the Environment, and Food Security. </w:t>
              </w:r>
              <w:r>
                <w:rPr>
                  <w:i/>
                  <w:iCs/>
                  <w:noProof/>
                </w:rPr>
                <w:t>Journal of Renewable Energy</w:t>
              </w:r>
              <w:r>
                <w:rPr>
                  <w:noProof/>
                </w:rPr>
                <w:t>.</w:t>
              </w:r>
            </w:p>
            <w:p w14:paraId="03D51E5D" w14:textId="77777777" w:rsidR="00104F10" w:rsidRDefault="00104F10" w:rsidP="00104F10">
              <w:pPr>
                <w:pStyle w:val="Bibliography"/>
                <w:ind w:left="720" w:hanging="720"/>
                <w:rPr>
                  <w:noProof/>
                </w:rPr>
              </w:pPr>
              <w:r>
                <w:rPr>
                  <w:noProof/>
                </w:rPr>
                <w:t xml:space="preserve">Milanés-Montero , P., Arroyo-Farrona, A., &amp; Pérez-Calderón, E. (2018). Assessment of the Influence of Feed-In Tariffs on the Profitability of European Photovoltaic Companies. </w:t>
              </w:r>
              <w:r>
                <w:rPr>
                  <w:i/>
                  <w:iCs/>
                  <w:noProof/>
                </w:rPr>
                <w:t>Sustainability</w:t>
              </w:r>
              <w:r>
                <w:rPr>
                  <w:noProof/>
                </w:rPr>
                <w:t>.</w:t>
              </w:r>
            </w:p>
            <w:p w14:paraId="21FA84FE" w14:textId="77777777" w:rsidR="00104F10" w:rsidRDefault="00104F10" w:rsidP="00104F10">
              <w:pPr>
                <w:pStyle w:val="Bibliography"/>
                <w:ind w:left="720" w:hanging="720"/>
                <w:rPr>
                  <w:noProof/>
                </w:rPr>
              </w:pPr>
              <w:r>
                <w:rPr>
                  <w:noProof/>
                </w:rPr>
                <w:t xml:space="preserve">Bueno-Lorenzo, M., Ángeles Moreno , M., &amp; Usaola, J. (2013). Analysis of the imbalance price scheme in the Spanish electricity market: A wind power test case. </w:t>
              </w:r>
              <w:r>
                <w:rPr>
                  <w:i/>
                  <w:iCs/>
                  <w:noProof/>
                </w:rPr>
                <w:t>Energy Policy 62</w:t>
              </w:r>
              <w:r>
                <w:rPr>
                  <w:noProof/>
                </w:rPr>
                <w:t>, 1010-1019.</w:t>
              </w:r>
            </w:p>
            <w:p w14:paraId="22CCC863" w14:textId="77777777" w:rsidR="00104F10" w:rsidRDefault="00104F10" w:rsidP="00104F10">
              <w:pPr>
                <w:pStyle w:val="Bibliography"/>
                <w:ind w:left="720" w:hanging="720"/>
                <w:rPr>
                  <w:noProof/>
                </w:rPr>
              </w:pPr>
              <w:r>
                <w:rPr>
                  <w:noProof/>
                </w:rPr>
                <w:t xml:space="preserve">Năsulea, C. (2014). The Effects of Fiscal Policy Instability on Wind Energy Resource Development in Romania. </w:t>
              </w:r>
              <w:r>
                <w:rPr>
                  <w:i/>
                  <w:iCs/>
                  <w:noProof/>
                </w:rPr>
                <w:t xml:space="preserve">Economics and Sociology, Vol. 7, No 3, </w:t>
              </w:r>
              <w:r>
                <w:rPr>
                  <w:noProof/>
                </w:rPr>
                <w:t>, 51-59.</w:t>
              </w:r>
            </w:p>
            <w:p w14:paraId="253035B7" w14:textId="77777777" w:rsidR="00104F10" w:rsidRDefault="00104F10" w:rsidP="00104F10">
              <w:pPr>
                <w:pStyle w:val="Bibliography"/>
                <w:ind w:left="720" w:hanging="720"/>
                <w:rPr>
                  <w:noProof/>
                </w:rPr>
              </w:pPr>
              <w:r>
                <w:rPr>
                  <w:noProof/>
                </w:rPr>
                <w:t xml:space="preserve">IRENA. (2019). </w:t>
              </w:r>
              <w:r>
                <w:rPr>
                  <w:i/>
                  <w:iCs/>
                  <w:noProof/>
                </w:rPr>
                <w:t>Strong Ties Between Public and Private Sectors Key to Accelerating Renewables .</w:t>
              </w:r>
              <w:r>
                <w:rPr>
                  <w:noProof/>
                </w:rPr>
                <w:t xml:space="preserve"> </w:t>
              </w:r>
            </w:p>
            <w:p w14:paraId="4589665A" w14:textId="77777777" w:rsidR="00104F10" w:rsidRDefault="00104F10" w:rsidP="00104F10">
              <w:pPr>
                <w:pStyle w:val="Bibliography"/>
                <w:ind w:left="720" w:hanging="720"/>
                <w:rPr>
                  <w:noProof/>
                </w:rPr>
              </w:pPr>
              <w:r>
                <w:rPr>
                  <w:noProof/>
                </w:rPr>
                <w:lastRenderedPageBreak/>
                <w:t xml:space="preserve">Jones, B. D. (1994). </w:t>
              </w:r>
              <w:r>
                <w:rPr>
                  <w:i/>
                  <w:iCs/>
                  <w:noProof/>
                </w:rPr>
                <w:t>Reconceiving decision-making in democratic politics: attention, choice, and public policy,.</w:t>
              </w:r>
              <w:r>
                <w:rPr>
                  <w:noProof/>
                </w:rPr>
                <w:t xml:space="preserve"> London: The University of Chicago Press.</w:t>
              </w:r>
            </w:p>
            <w:p w14:paraId="43285F5D" w14:textId="77777777" w:rsidR="00104F10" w:rsidRDefault="00104F10" w:rsidP="00104F10">
              <w:pPr>
                <w:pStyle w:val="Bibliography"/>
                <w:ind w:left="720" w:hanging="720"/>
                <w:rPr>
                  <w:noProof/>
                </w:rPr>
              </w:pPr>
              <w:r>
                <w:rPr>
                  <w:noProof/>
                </w:rPr>
                <w:t xml:space="preserve">Martins, A. C., Marques, R. C., &amp; Cruz, C. O. (2011). Public-Private Partnerships for Wind Power Generation: The Portuguese Case. </w:t>
              </w:r>
              <w:r>
                <w:rPr>
                  <w:i/>
                  <w:iCs/>
                  <w:noProof/>
                </w:rPr>
                <w:t>Energy Policy</w:t>
              </w:r>
              <w:r>
                <w:rPr>
                  <w:noProof/>
                </w:rPr>
                <w:t>.</w:t>
              </w:r>
            </w:p>
            <w:p w14:paraId="7EDF565D" w14:textId="77777777" w:rsidR="00104F10" w:rsidRDefault="00104F10" w:rsidP="00104F10">
              <w:pPr>
                <w:pStyle w:val="Bibliography"/>
                <w:ind w:left="720" w:hanging="720"/>
                <w:rPr>
                  <w:noProof/>
                </w:rPr>
              </w:pPr>
              <w:r>
                <w:rPr>
                  <w:noProof/>
                </w:rPr>
                <w:t xml:space="preserve">World Bank. (2012). Public-Private Partnerships: Reference Guide. </w:t>
              </w:r>
              <w:r>
                <w:rPr>
                  <w:i/>
                  <w:iCs/>
                  <w:noProof/>
                </w:rPr>
                <w:t>World Bank Institute and Public-Private Infrastructure Advisory Facility .</w:t>
              </w:r>
              <w:r>
                <w:rPr>
                  <w:noProof/>
                </w:rPr>
                <w:t xml:space="preserve"> </w:t>
              </w:r>
            </w:p>
            <w:p w14:paraId="590116FC" w14:textId="77777777" w:rsidR="00104F10" w:rsidRDefault="00104F10" w:rsidP="00104F10">
              <w:pPr>
                <w:pStyle w:val="Bibliography"/>
                <w:ind w:left="720" w:hanging="720"/>
                <w:rPr>
                  <w:noProof/>
                </w:rPr>
              </w:pPr>
              <w:r>
                <w:rPr>
                  <w:noProof/>
                </w:rPr>
                <w:t xml:space="preserve">Cedrick, B. Z., &amp; Long, W. (2017). Investment Motivation in Renewable Energy: A PPP Aproach. </w:t>
              </w:r>
              <w:r>
                <w:rPr>
                  <w:i/>
                  <w:iCs/>
                  <w:noProof/>
                </w:rPr>
                <w:t>Energy Procedia</w:t>
              </w:r>
              <w:r>
                <w:rPr>
                  <w:noProof/>
                </w:rPr>
                <w:t>, 229-238.</w:t>
              </w:r>
            </w:p>
            <w:p w14:paraId="19DB9C4A" w14:textId="77777777" w:rsidR="00104F10" w:rsidRDefault="00104F10" w:rsidP="00104F10">
              <w:pPr>
                <w:pStyle w:val="Bibliography"/>
                <w:ind w:left="720" w:hanging="720"/>
                <w:rPr>
                  <w:noProof/>
                </w:rPr>
              </w:pPr>
              <w:r>
                <w:rPr>
                  <w:noProof/>
                </w:rPr>
                <w:t xml:space="preserve">Jager, D. d., &amp; Rathmann, M. (2008). </w:t>
              </w:r>
              <w:r>
                <w:rPr>
                  <w:i/>
                  <w:iCs/>
                  <w:noProof/>
                </w:rPr>
                <w:t>Policy instrument design to reduce financing costs in renewable energy technology projects.</w:t>
              </w:r>
              <w:r>
                <w:rPr>
                  <w:noProof/>
                </w:rPr>
                <w:t xml:space="preserve"> </w:t>
              </w:r>
            </w:p>
            <w:p w14:paraId="19077516" w14:textId="77777777" w:rsidR="00104F10" w:rsidRDefault="00104F10" w:rsidP="00104F10">
              <w:pPr>
                <w:pStyle w:val="Bibliography"/>
                <w:ind w:left="720" w:hanging="720"/>
                <w:rPr>
                  <w:noProof/>
                </w:rPr>
              </w:pPr>
              <w:r>
                <w:rPr>
                  <w:noProof/>
                </w:rPr>
                <w:t xml:space="preserve">Langniss, O., Helby, P., &amp; Mitchell, C. (1999). </w:t>
              </w:r>
              <w:r>
                <w:rPr>
                  <w:i/>
                  <w:iCs/>
                  <w:noProof/>
                </w:rPr>
                <w:t>inancing Renewable Energy Systems.</w:t>
              </w:r>
              <w:r>
                <w:rPr>
                  <w:noProof/>
                </w:rPr>
                <w:t xml:space="preserve"> Stuttgart.</w:t>
              </w:r>
            </w:p>
            <w:p w14:paraId="4E239B4B" w14:textId="77777777" w:rsidR="00104F10" w:rsidRDefault="00104F10" w:rsidP="00104F10">
              <w:pPr>
                <w:pStyle w:val="Bibliography"/>
                <w:ind w:left="720" w:hanging="720"/>
                <w:rPr>
                  <w:noProof/>
                </w:rPr>
              </w:pPr>
              <w:r>
                <w:rPr>
                  <w:noProof/>
                </w:rPr>
                <w:t xml:space="preserve">Guild, J. (2019). Feed-in-tariffs and the politics of renewable energy in Indonesia and the Philippines. </w:t>
              </w:r>
              <w:r>
                <w:rPr>
                  <w:i/>
                  <w:iCs/>
                  <w:noProof/>
                </w:rPr>
                <w:t>Asia &amp; the Pacific Policy Studies Volume 6</w:t>
              </w:r>
              <w:r>
                <w:rPr>
                  <w:noProof/>
                </w:rPr>
                <w:t>, 417-431.</w:t>
              </w:r>
            </w:p>
            <w:p w14:paraId="47095EF8" w14:textId="77777777" w:rsidR="00104F10" w:rsidRDefault="00104F10" w:rsidP="00104F10">
              <w:pPr>
                <w:pStyle w:val="Bibliography"/>
                <w:ind w:left="720" w:hanging="720"/>
                <w:rPr>
                  <w:noProof/>
                </w:rPr>
              </w:pPr>
              <w:r>
                <w:rPr>
                  <w:noProof/>
                </w:rPr>
                <w:t xml:space="preserve">World Bank. (2017). </w:t>
              </w:r>
              <w:r>
                <w:rPr>
                  <w:i/>
                  <w:iCs/>
                  <w:noProof/>
                </w:rPr>
                <w:t>worldbank</w:t>
              </w:r>
              <w:r>
                <w:rPr>
                  <w:noProof/>
                </w:rPr>
                <w:t>. Retrieved from Worldwide governance indicators: http://info.worldbank.org/governance/wgi/#home</w:t>
              </w:r>
            </w:p>
            <w:p w14:paraId="4D8D17F3" w14:textId="77777777" w:rsidR="00104F10" w:rsidRDefault="00104F10" w:rsidP="00104F10">
              <w:pPr>
                <w:pStyle w:val="Bibliography"/>
                <w:ind w:left="720" w:hanging="720"/>
                <w:rPr>
                  <w:noProof/>
                </w:rPr>
              </w:pPr>
              <w:r>
                <w:rPr>
                  <w:noProof/>
                </w:rPr>
                <w:t xml:space="preserve">Lucas, H., Pinnington, S., &amp; Cabeza, L. (2018). Education and training gaps in the renewable energy sector. </w:t>
              </w:r>
              <w:r>
                <w:rPr>
                  <w:i/>
                  <w:iCs/>
                  <w:noProof/>
                </w:rPr>
                <w:t>Solar Energy, Volume 173</w:t>
              </w:r>
              <w:r>
                <w:rPr>
                  <w:noProof/>
                </w:rPr>
                <w:t>, 449-455.</w:t>
              </w: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proofErr w:type="spellStart"/>
      <w:r w:rsidR="00332BDF">
        <w:rPr>
          <w:rFonts w:ascii="Times" w:hAnsi="Times" w:cs="Times"/>
        </w:rPr>
        <w:t>Munish</w:t>
      </w:r>
      <w:proofErr w:type="spellEnd"/>
      <w:r w:rsidR="00332BDF">
        <w:rPr>
          <w:rFonts w:ascii="Times" w:hAnsi="Times" w:cs="Times"/>
        </w:rPr>
        <w:t xml:space="preserve"> Kumar would like to thank ERCE for peer review of this work.</w:t>
      </w:r>
    </w:p>
    <w:sectPr w:rsidR="00F02240" w:rsidRPr="00AC405E" w:rsidSect="00174271">
      <w:headerReference w:type="default" r:id="rId28"/>
      <w:footerReference w:type="default" r:id="rId29"/>
      <w:headerReference w:type="first" r:id="rId30"/>
      <w:footerReference w:type="first" r:id="rId31"/>
      <w:pgSz w:w="12240" w:h="15840" w:code="1"/>
      <w:pgMar w:top="720" w:right="720" w:bottom="720" w:left="72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 JANINE NG YOU EN (UC-FT)" w:date="2022-03-22T16:33:00Z" w:initials="#JNYE(F">
    <w:p w14:paraId="337030DB" w14:textId="77777777" w:rsidR="00535F77" w:rsidRDefault="00535F77" w:rsidP="004736C0">
      <w:r>
        <w:rPr>
          <w:rStyle w:val="CommentReference"/>
        </w:rPr>
        <w:annotationRef/>
      </w:r>
      <w:r>
        <w:rPr>
          <w:rFonts w:eastAsia="Times New Roman"/>
        </w:rPr>
        <w:t xml:space="preserve">Dont think so. </w:t>
      </w:r>
    </w:p>
  </w:comment>
  <w:comment w:id="3" w:author="# JANINE NG YOU EN (UC-FT)" w:date="2022-03-22T16:39:00Z" w:initials="#JNYE(F">
    <w:p w14:paraId="187A39F2" w14:textId="77777777" w:rsidR="00E23B7F" w:rsidRDefault="00E23B7F" w:rsidP="00356ADF">
      <w:r>
        <w:rPr>
          <w:rStyle w:val="CommentReference"/>
        </w:rPr>
        <w:annotationRef/>
      </w:r>
      <w:r>
        <w:rPr>
          <w:rFonts w:eastAsia="Times New Roman"/>
        </w:rPr>
        <w:t xml:space="preserve">the code doesnt say anything about lamda </w:t>
      </w:r>
    </w:p>
  </w:comment>
  <w:comment w:id="10" w:author="# JANINE NG YOU EN (UC-FT)" w:date="2022-05-04T10:20:00Z" w:initials="#JNYE(F">
    <w:p w14:paraId="18C563D3" w14:textId="2DD98C5B" w:rsidR="00104F10" w:rsidRDefault="00104F10" w:rsidP="00BA1124">
      <w:r>
        <w:rPr>
          <w:rStyle w:val="CommentReference"/>
        </w:rPr>
        <w:annotationRef/>
      </w:r>
      <w:r>
        <w:rPr>
          <w:rFonts w:eastAsia="Times New Roman"/>
        </w:rPr>
        <w:t>Source: energy Policy</w:t>
      </w:r>
    </w:p>
    <w:p w14:paraId="67935F4E" w14:textId="77777777" w:rsidR="00104F10" w:rsidRDefault="00104F10" w:rsidP="00BA1124"/>
  </w:comment>
  <w:comment w:id="11" w:author="# JANINE NG YOU EN (UC-FT)" w:date="2022-05-04T10:17:00Z" w:initials="#JNYE(F">
    <w:p w14:paraId="585F6605" w14:textId="1BBC2262" w:rsidR="00104F10" w:rsidRDefault="00104F10" w:rsidP="00232140">
      <w:r>
        <w:rPr>
          <w:rStyle w:val="CommentReference"/>
        </w:rPr>
        <w:annotationRef/>
      </w:r>
      <w:r>
        <w:rPr>
          <w:rFonts w:eastAsia="Times New Roman"/>
        </w:rPr>
        <w:t>Source:Energy policy</w:t>
      </w:r>
    </w:p>
  </w:comment>
  <w:comment w:id="12" w:author="# JANINE NG YOU EN (UC-FT)" w:date="2022-05-04T10:19:00Z" w:initials="#JNYE(F">
    <w:p w14:paraId="115BE3DE" w14:textId="77777777" w:rsidR="00104F10" w:rsidRDefault="00104F10" w:rsidP="00731CF5">
      <w:r>
        <w:rPr>
          <w:rStyle w:val="CommentReference"/>
        </w:rPr>
        <w:annotationRef/>
      </w:r>
      <w:r>
        <w:rPr>
          <w:rFonts w:eastAsia="Times New Roman"/>
        </w:rPr>
        <w:t xml:space="preserve">Source: Energy Policy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030DB" w15:done="0"/>
  <w15:commentEx w15:paraId="187A39F2" w15:paraIdParent="337030DB" w15:done="0"/>
  <w15:commentEx w15:paraId="67935F4E" w15:done="0"/>
  <w15:commentEx w15:paraId="585F6605" w15:done="0"/>
  <w15:commentEx w15:paraId="115BE3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78D6" w16cex:dateUtc="2022-03-22T08:33:00Z"/>
  <w16cex:commentExtensible w16cex:durableId="25E47A5D" w16cex:dateUtc="2022-03-22T08:39:00Z"/>
  <w16cex:commentExtensible w16cex:durableId="261CD1F7" w16cex:dateUtc="2022-05-04T02:20:00Z"/>
  <w16cex:commentExtensible w16cex:durableId="261CD156" w16cex:dateUtc="2022-05-04T02:17:00Z"/>
  <w16cex:commentExtensible w16cex:durableId="261CD1C0" w16cex:dateUtc="2022-05-04T0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030DB" w16cid:durableId="25E478D6"/>
  <w16cid:commentId w16cid:paraId="187A39F2" w16cid:durableId="25E47A5D"/>
  <w16cid:commentId w16cid:paraId="67935F4E" w16cid:durableId="261CD1F7"/>
  <w16cid:commentId w16cid:paraId="585F6605" w16cid:durableId="261CD156"/>
  <w16cid:commentId w16cid:paraId="115BE3DE" w16cid:durableId="261CD1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FBB2A" w14:textId="77777777" w:rsidR="00244349" w:rsidRDefault="00244349" w:rsidP="00D73714">
      <w:r>
        <w:separator/>
      </w:r>
    </w:p>
  </w:endnote>
  <w:endnote w:type="continuationSeparator" w:id="0">
    <w:p w14:paraId="4D98BEF8" w14:textId="77777777" w:rsidR="00244349" w:rsidRDefault="00244349" w:rsidP="00D73714">
      <w:r>
        <w:continuationSeparator/>
      </w:r>
    </w:p>
  </w:endnote>
  <w:endnote w:type="continuationNotice" w:id="1">
    <w:p w14:paraId="5EBB6811" w14:textId="77777777" w:rsidR="00244349" w:rsidRDefault="002443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F9973" w14:textId="77777777" w:rsidR="00244349" w:rsidRDefault="00244349" w:rsidP="00D73714">
      <w:r>
        <w:separator/>
      </w:r>
    </w:p>
  </w:footnote>
  <w:footnote w:type="continuationSeparator" w:id="0">
    <w:p w14:paraId="0FDC1997" w14:textId="77777777" w:rsidR="00244349" w:rsidRDefault="00244349" w:rsidP="00D73714">
      <w:r>
        <w:continuationSeparator/>
      </w:r>
    </w:p>
  </w:footnote>
  <w:footnote w:type="continuationNotice" w:id="1">
    <w:p w14:paraId="4E471814" w14:textId="77777777" w:rsidR="00244349" w:rsidRDefault="00244349"/>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77777777" w:rsidR="00FC17B3" w:rsidRDefault="00FC17B3"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13020208">
    <w:abstractNumId w:val="11"/>
  </w:num>
  <w:num w:numId="2" w16cid:durableId="478616317">
    <w:abstractNumId w:val="9"/>
  </w:num>
  <w:num w:numId="3" w16cid:durableId="739055652">
    <w:abstractNumId w:val="7"/>
  </w:num>
  <w:num w:numId="4" w16cid:durableId="1846507034">
    <w:abstractNumId w:val="6"/>
  </w:num>
  <w:num w:numId="5" w16cid:durableId="1271157248">
    <w:abstractNumId w:val="5"/>
  </w:num>
  <w:num w:numId="6" w16cid:durableId="1496918746">
    <w:abstractNumId w:val="4"/>
  </w:num>
  <w:num w:numId="7" w16cid:durableId="1678920138">
    <w:abstractNumId w:val="8"/>
  </w:num>
  <w:num w:numId="8" w16cid:durableId="435516536">
    <w:abstractNumId w:val="3"/>
  </w:num>
  <w:num w:numId="9" w16cid:durableId="871111372">
    <w:abstractNumId w:val="2"/>
  </w:num>
  <w:num w:numId="10" w16cid:durableId="725882518">
    <w:abstractNumId w:val="1"/>
  </w:num>
  <w:num w:numId="11" w16cid:durableId="960570629">
    <w:abstractNumId w:val="0"/>
  </w:num>
  <w:num w:numId="12" w16cid:durableId="23432142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11995657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 JANINE NG YOU EN (UC-FT)">
    <w15:presenceInfo w15:providerId="AD" w15:userId="S::janineng001@suss.edu.sg::4cd3be68-b43c-47a2-b36d-a657951a56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4F10"/>
    <w:rsid w:val="001074DD"/>
    <w:rsid w:val="00110652"/>
    <w:rsid w:val="00111899"/>
    <w:rsid w:val="00115071"/>
    <w:rsid w:val="00117252"/>
    <w:rsid w:val="00122159"/>
    <w:rsid w:val="00122855"/>
    <w:rsid w:val="00124ABC"/>
    <w:rsid w:val="001331D7"/>
    <w:rsid w:val="001422D7"/>
    <w:rsid w:val="001447DE"/>
    <w:rsid w:val="0015549E"/>
    <w:rsid w:val="001617C0"/>
    <w:rsid w:val="00165EB9"/>
    <w:rsid w:val="00170373"/>
    <w:rsid w:val="0017101D"/>
    <w:rsid w:val="00174271"/>
    <w:rsid w:val="00174D19"/>
    <w:rsid w:val="001775FA"/>
    <w:rsid w:val="00187DC5"/>
    <w:rsid w:val="0019094B"/>
    <w:rsid w:val="001A4208"/>
    <w:rsid w:val="001B2E30"/>
    <w:rsid w:val="001B39E7"/>
    <w:rsid w:val="001C6230"/>
    <w:rsid w:val="001D2954"/>
    <w:rsid w:val="001D3DE1"/>
    <w:rsid w:val="001D4C6A"/>
    <w:rsid w:val="001F5999"/>
    <w:rsid w:val="002015DE"/>
    <w:rsid w:val="002018B9"/>
    <w:rsid w:val="00202C98"/>
    <w:rsid w:val="002053AF"/>
    <w:rsid w:val="0021079F"/>
    <w:rsid w:val="00227AE4"/>
    <w:rsid w:val="00230D22"/>
    <w:rsid w:val="00236F8D"/>
    <w:rsid w:val="00243968"/>
    <w:rsid w:val="00244349"/>
    <w:rsid w:val="002475FA"/>
    <w:rsid w:val="00252368"/>
    <w:rsid w:val="00270F47"/>
    <w:rsid w:val="00277E11"/>
    <w:rsid w:val="00282550"/>
    <w:rsid w:val="0029404C"/>
    <w:rsid w:val="002A192C"/>
    <w:rsid w:val="002A1E84"/>
    <w:rsid w:val="002B09D6"/>
    <w:rsid w:val="002C07E9"/>
    <w:rsid w:val="002C2BCA"/>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5066"/>
    <w:rsid w:val="00357455"/>
    <w:rsid w:val="00363BF8"/>
    <w:rsid w:val="003658DF"/>
    <w:rsid w:val="00370FED"/>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39E6"/>
    <w:rsid w:val="003D6392"/>
    <w:rsid w:val="003E2BE6"/>
    <w:rsid w:val="003E4453"/>
    <w:rsid w:val="003E47D5"/>
    <w:rsid w:val="003F19B9"/>
    <w:rsid w:val="003F4DAB"/>
    <w:rsid w:val="003F761E"/>
    <w:rsid w:val="004057E5"/>
    <w:rsid w:val="004071C3"/>
    <w:rsid w:val="00431FEB"/>
    <w:rsid w:val="00432A92"/>
    <w:rsid w:val="00436BFE"/>
    <w:rsid w:val="0044390F"/>
    <w:rsid w:val="00447EB3"/>
    <w:rsid w:val="0045266C"/>
    <w:rsid w:val="00464ABD"/>
    <w:rsid w:val="00465F7D"/>
    <w:rsid w:val="004716F0"/>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35F77"/>
    <w:rsid w:val="00545794"/>
    <w:rsid w:val="00545DD8"/>
    <w:rsid w:val="005525E8"/>
    <w:rsid w:val="00560CF5"/>
    <w:rsid w:val="00562AF0"/>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1F27"/>
    <w:rsid w:val="005D653C"/>
    <w:rsid w:val="005E5E18"/>
    <w:rsid w:val="00606727"/>
    <w:rsid w:val="00606EBD"/>
    <w:rsid w:val="00615B01"/>
    <w:rsid w:val="006161C9"/>
    <w:rsid w:val="00627266"/>
    <w:rsid w:val="00630B31"/>
    <w:rsid w:val="00632F22"/>
    <w:rsid w:val="00633972"/>
    <w:rsid w:val="0064261D"/>
    <w:rsid w:val="006455DA"/>
    <w:rsid w:val="00650038"/>
    <w:rsid w:val="006503E2"/>
    <w:rsid w:val="0065435C"/>
    <w:rsid w:val="00666EF1"/>
    <w:rsid w:val="006757DB"/>
    <w:rsid w:val="00681B1D"/>
    <w:rsid w:val="00690FDE"/>
    <w:rsid w:val="006934B3"/>
    <w:rsid w:val="006A002E"/>
    <w:rsid w:val="006A0DD2"/>
    <w:rsid w:val="006A2645"/>
    <w:rsid w:val="006A5A34"/>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022CE"/>
    <w:rsid w:val="0081093F"/>
    <w:rsid w:val="00821BBC"/>
    <w:rsid w:val="008355F1"/>
    <w:rsid w:val="0084087F"/>
    <w:rsid w:val="0084365A"/>
    <w:rsid w:val="00852D1A"/>
    <w:rsid w:val="00864A5F"/>
    <w:rsid w:val="0086656C"/>
    <w:rsid w:val="00872487"/>
    <w:rsid w:val="00891E64"/>
    <w:rsid w:val="008B018C"/>
    <w:rsid w:val="008B420E"/>
    <w:rsid w:val="008C1186"/>
    <w:rsid w:val="008C361F"/>
    <w:rsid w:val="008C5F47"/>
    <w:rsid w:val="008D4C81"/>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C06BF"/>
    <w:rsid w:val="009E0415"/>
    <w:rsid w:val="009E10E2"/>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2D64"/>
    <w:rsid w:val="00A644A5"/>
    <w:rsid w:val="00A704EE"/>
    <w:rsid w:val="00A80658"/>
    <w:rsid w:val="00A817E2"/>
    <w:rsid w:val="00A861BA"/>
    <w:rsid w:val="00A954C5"/>
    <w:rsid w:val="00AA14AF"/>
    <w:rsid w:val="00AA446F"/>
    <w:rsid w:val="00AC38A6"/>
    <w:rsid w:val="00AC4045"/>
    <w:rsid w:val="00AC405E"/>
    <w:rsid w:val="00AD1C23"/>
    <w:rsid w:val="00AD471D"/>
    <w:rsid w:val="00AF07E1"/>
    <w:rsid w:val="00AF6AFC"/>
    <w:rsid w:val="00B01CB1"/>
    <w:rsid w:val="00B027F2"/>
    <w:rsid w:val="00B04786"/>
    <w:rsid w:val="00B052C9"/>
    <w:rsid w:val="00B0541D"/>
    <w:rsid w:val="00B0747B"/>
    <w:rsid w:val="00B229D5"/>
    <w:rsid w:val="00B2764B"/>
    <w:rsid w:val="00B31E25"/>
    <w:rsid w:val="00B40F6D"/>
    <w:rsid w:val="00B422F9"/>
    <w:rsid w:val="00B47B29"/>
    <w:rsid w:val="00B504DA"/>
    <w:rsid w:val="00B52557"/>
    <w:rsid w:val="00B74510"/>
    <w:rsid w:val="00B84598"/>
    <w:rsid w:val="00B9331C"/>
    <w:rsid w:val="00B95CEA"/>
    <w:rsid w:val="00BA24C9"/>
    <w:rsid w:val="00BA64AE"/>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3E2D"/>
    <w:rsid w:val="00C86E03"/>
    <w:rsid w:val="00C90A88"/>
    <w:rsid w:val="00CB1F55"/>
    <w:rsid w:val="00CB7741"/>
    <w:rsid w:val="00CC2657"/>
    <w:rsid w:val="00CC78A1"/>
    <w:rsid w:val="00CD2259"/>
    <w:rsid w:val="00CE229E"/>
    <w:rsid w:val="00CE6F3A"/>
    <w:rsid w:val="00CF33DA"/>
    <w:rsid w:val="00CF6EBD"/>
    <w:rsid w:val="00D01145"/>
    <w:rsid w:val="00D21AFC"/>
    <w:rsid w:val="00D24182"/>
    <w:rsid w:val="00D47412"/>
    <w:rsid w:val="00D565D0"/>
    <w:rsid w:val="00D61494"/>
    <w:rsid w:val="00D73714"/>
    <w:rsid w:val="00D768B9"/>
    <w:rsid w:val="00D77A5A"/>
    <w:rsid w:val="00D805A6"/>
    <w:rsid w:val="00D85EC2"/>
    <w:rsid w:val="00D94850"/>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A045D"/>
    <w:rsid w:val="00EA5590"/>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3E8F"/>
    <w:rsid w:val="00F44B6F"/>
    <w:rsid w:val="00F44D3D"/>
    <w:rsid w:val="00F5789C"/>
    <w:rsid w:val="00F65EF7"/>
    <w:rsid w:val="00F66D82"/>
    <w:rsid w:val="00F67DE5"/>
    <w:rsid w:val="00F70401"/>
    <w:rsid w:val="00F716A3"/>
    <w:rsid w:val="00F71F2A"/>
    <w:rsid w:val="00F72442"/>
    <w:rsid w:val="00F72532"/>
    <w:rsid w:val="00F736A2"/>
    <w:rsid w:val="00F739FD"/>
    <w:rsid w:val="00F7745C"/>
    <w:rsid w:val="00F923C9"/>
    <w:rsid w:val="00F958AF"/>
    <w:rsid w:val="00FB14FE"/>
    <w:rsid w:val="00FC17B3"/>
    <w:rsid w:val="00FC3B95"/>
    <w:rsid w:val="00FC3E35"/>
    <w:rsid w:val="00FC451C"/>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33</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34</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29</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26</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35</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36</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27</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28</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30</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32</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31</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39</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37</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38</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40</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41</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42</b:RefOrder>
  </b:Source>
  <b:Source>
    <b:Tag>Lan99</b:Tag>
    <b:SourceType>Report</b:SourceType>
    <b:Guid>{6B9FC09D-7F20-BC41-806D-63802450CE9E}</b:Guid>
    <b:Author>
      <b:Author>
        <b:NameList>
          <b:Person>
            <b:Last>Langniss</b:Last>
            <b:First>O</b:First>
          </b:Person>
          <b:Person>
            <b:Last>Helby</b:Last>
            <b:First>P</b:First>
          </b:Person>
          <b:Person>
            <b:Last>Mitchell</b:Last>
            <b:First>C</b:First>
          </b:Person>
        </b:NameList>
      </b:Author>
    </b:Author>
    <b:Title>inancing Renewable Energy Systems</b:Title>
    <b:City>Stuttgart</b:City>
    <b:Year>1999</b:Year>
    <b:RefOrder>50</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44</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43</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47</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45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46</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49</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48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55731E61-95E3-9143-A974-3C810B4F480A}">
  <ds:schemaRefs>
    <ds:schemaRef ds:uri="http://schemas.openxmlformats.org/officeDocument/2006/bibliography"/>
  </ds:schemaRefs>
</ds:datastoreItem>
</file>

<file path=customXml/itemProps4.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18</Pages>
  <Words>7336</Words>
  <Characters>41819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 JANINE NG YOU EN (UC-FT)</cp:lastModifiedBy>
  <cp:revision>21</cp:revision>
  <cp:lastPrinted>2018-01-11T18:39:00Z</cp:lastPrinted>
  <dcterms:created xsi:type="dcterms:W3CDTF">2022-03-22T18:25:00Z</dcterms:created>
  <dcterms:modified xsi:type="dcterms:W3CDTF">2022-05-04T03:48:00Z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