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Anti-Money Laundering Policy</w:t>
      </w:r>
    </w:p>
    <w:p>
      <w:pPr>
        <w:spacing w:after="120"/>
      </w:pPr>
      <w:r>
        <w:rPr/>
        <w:t xml:space="preserve">Orchid Hill Securities Limited. Document owner: Vivek Bansal, Chief Risk Officer and Principal Officer. Version 5.0. Approved by the Board of Directors. Effective from 1 April 2026. Last reviewed 1 April 2026. Next review 31 March 2027.</w:t>
      </w:r>
    </w:p>
    <w:p>
      <w:pPr>
        <w:spacing w:after="120"/>
      </w:pPr>
      <w:r>
        <w:rPr/>
        <w:t xml:space="preserve">Scope: all clients, accounts and transactions.</w:t>
      </w:r>
    </w:p>
    <w:p>
      <w:pPr>
        <w:spacing w:after="120"/>
      </w:pPr>
      <w:r>
        <w:rPr>
          <w:b/>
          <w:sz w:val="28"/>
        </w:rPr>
        <w:t xml:space="preserve">Records and reporting</w:t>
      </w:r>
    </w:p>
    <w:p>
      <w:pPr>
        <w:spacing w:after="120"/>
      </w:pPr>
      <w:r>
        <w:rPr/>
        <w:t xml:space="preserve">Client due diligence records, monitoring alerts and suspicious transaction reports are maintained under this board-approved anti-money laundering policy. Access is limited to the compliance team. Suspicious transaction reports are filed with FIU-IND within the prescribed time.</w:t>
      </w:r>
    </w:p>
    <w:sectPr>
      <w:pgSz w:w="11906" w:h="16838"/>
      <w:pgMar w:top="1134" w:right="1134" w:bottom="1134" w:left="1134"/>
    </w:sectPr>
  </w:body>
</w:document>
</file>